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2"/>
        <w:gridCol w:w="101"/>
        <w:gridCol w:w="1399"/>
        <w:gridCol w:w="300"/>
        <w:gridCol w:w="1100"/>
        <w:gridCol w:w="793"/>
        <w:gridCol w:w="5107"/>
      </w:tblGrid>
      <w:tr w:rsidR="007B1CE0" w:rsidTr="000E3733">
        <w:trPr>
          <w:trHeight w:val="854"/>
        </w:trPr>
        <w:tc>
          <w:tcPr>
            <w:tcW w:w="3222" w:type="dxa"/>
            <w:gridSpan w:val="3"/>
            <w:tcBorders>
              <w:top w:val="single" w:sz="18" w:space="0" w:color="auto"/>
              <w:left w:val="single" w:sz="18" w:space="0" w:color="auto"/>
              <w:bottom w:val="single" w:sz="18" w:space="0" w:color="auto"/>
            </w:tcBorders>
            <w:vAlign w:val="center"/>
          </w:tcPr>
          <w:p w:rsidR="007B1CE0" w:rsidRDefault="00FD228B" w:rsidP="00890C44">
            <w:pPr>
              <w:spacing w:before="120" w:after="120"/>
            </w:pPr>
            <w:r w:rsidRPr="00562EFE">
              <w:rPr>
                <w:noProof/>
                <w:lang w:val="es-AR" w:eastAsia="es-AR"/>
              </w:rPr>
              <w:drawing>
                <wp:inline distT="0" distB="0" distL="0" distR="0">
                  <wp:extent cx="1600200" cy="581025"/>
                  <wp:effectExtent l="0" t="0" r="0" b="9525"/>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 Cu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p>
        </w:tc>
        <w:tc>
          <w:tcPr>
            <w:tcW w:w="7300" w:type="dxa"/>
            <w:gridSpan w:val="4"/>
            <w:tcBorders>
              <w:top w:val="single" w:sz="18" w:space="0" w:color="auto"/>
              <w:bottom w:val="single" w:sz="18" w:space="0" w:color="auto"/>
              <w:right w:val="single" w:sz="18" w:space="0" w:color="auto"/>
            </w:tcBorders>
            <w:vAlign w:val="center"/>
          </w:tcPr>
          <w:p w:rsidR="007B1CE0" w:rsidRDefault="00890C44" w:rsidP="00277D0A">
            <w:pPr>
              <w:spacing w:before="120" w:after="120"/>
              <w:jc w:val="center"/>
              <w:rPr>
                <w:b/>
                <w:bCs/>
                <w:sz w:val="24"/>
                <w:szCs w:val="24"/>
              </w:rPr>
            </w:pPr>
            <w:r w:rsidRPr="00890C44">
              <w:rPr>
                <w:b/>
                <w:bCs/>
                <w:sz w:val="28"/>
                <w:szCs w:val="28"/>
              </w:rPr>
              <w:t xml:space="preserve">CONDICIONES QUE RIGEN LA </w:t>
            </w:r>
            <w:r w:rsidR="00277D0A">
              <w:rPr>
                <w:b/>
                <w:bCs/>
                <w:sz w:val="28"/>
                <w:szCs w:val="28"/>
              </w:rPr>
              <w:t>CAJA DE AHORROS PARA EL PAGO DE PLANES O PROGRAMAS DE AYUDA SOCIAL</w:t>
            </w:r>
          </w:p>
        </w:tc>
      </w:tr>
      <w:tr w:rsidR="007B1CE0" w:rsidTr="000E3733">
        <w:trPr>
          <w:trHeight w:val="113"/>
        </w:trPr>
        <w:tc>
          <w:tcPr>
            <w:tcW w:w="5415" w:type="dxa"/>
            <w:gridSpan w:val="6"/>
            <w:tcBorders>
              <w:top w:val="single" w:sz="18" w:space="0" w:color="auto"/>
              <w:left w:val="single" w:sz="18" w:space="0" w:color="auto"/>
              <w:bottom w:val="single" w:sz="18" w:space="0" w:color="auto"/>
              <w:right w:val="nil"/>
            </w:tcBorders>
            <w:shd w:val="pct35" w:color="auto" w:fill="auto"/>
          </w:tcPr>
          <w:p w:rsidR="007B1CE0" w:rsidRDefault="007B1CE0" w:rsidP="00277D0A">
            <w:pPr>
              <w:spacing w:before="120" w:after="120"/>
              <w:rPr>
                <w:b/>
                <w:bCs/>
              </w:rPr>
            </w:pPr>
            <w:r>
              <w:rPr>
                <w:b/>
                <w:bCs/>
              </w:rPr>
              <w:t>CONDICI</w:t>
            </w:r>
            <w:r w:rsidR="00277D0A">
              <w:rPr>
                <w:b/>
                <w:bCs/>
              </w:rPr>
              <w:t>ONES VINCULADAS A LA CUENTA</w:t>
            </w:r>
          </w:p>
        </w:tc>
        <w:tc>
          <w:tcPr>
            <w:tcW w:w="5107" w:type="dxa"/>
            <w:tcBorders>
              <w:top w:val="single" w:sz="18" w:space="0" w:color="auto"/>
              <w:left w:val="nil"/>
              <w:bottom w:val="single" w:sz="18" w:space="0" w:color="auto"/>
              <w:right w:val="single" w:sz="18" w:space="0" w:color="auto"/>
            </w:tcBorders>
          </w:tcPr>
          <w:p w:rsidR="007B1CE0" w:rsidRDefault="007B1CE0">
            <w:pPr>
              <w:spacing w:before="120" w:after="120"/>
              <w:rPr>
                <w:b/>
                <w:bCs/>
              </w:rPr>
            </w:pPr>
            <w:r>
              <w:rPr>
                <w:b/>
                <w:bCs/>
              </w:rPr>
              <w:fldChar w:fldCharType="begin">
                <w:ffData>
                  <w:name w:val="Texto15"/>
                  <w:enabled/>
                  <w:calcOnExit w:val="0"/>
                  <w:textInput/>
                </w:ffData>
              </w:fldChar>
            </w:r>
            <w:bookmarkStart w:id="0" w:name="Texto15"/>
            <w:r>
              <w:rPr>
                <w:b/>
                <w:bCs/>
              </w:rPr>
              <w:instrText xml:space="preserve"> FORMTEXT </w:instrText>
            </w:r>
            <w:r>
              <w:rPr>
                <w:b/>
                <w:bCs/>
              </w:rPr>
            </w:r>
            <w:r>
              <w:rPr>
                <w:b/>
                <w:bCs/>
              </w:rPr>
              <w:fldChar w:fldCharType="separate"/>
            </w:r>
            <w:bookmarkStart w:id="1" w:name="_GoBack"/>
            <w:r w:rsidR="00355047">
              <w:rPr>
                <w:b/>
                <w:bCs/>
                <w:noProof/>
              </w:rPr>
              <w:t> </w:t>
            </w:r>
            <w:r w:rsidR="00355047">
              <w:rPr>
                <w:b/>
                <w:bCs/>
                <w:noProof/>
              </w:rPr>
              <w:t> </w:t>
            </w:r>
            <w:r w:rsidR="00355047">
              <w:rPr>
                <w:b/>
                <w:bCs/>
                <w:noProof/>
              </w:rPr>
              <w:t> </w:t>
            </w:r>
            <w:r w:rsidR="00355047">
              <w:rPr>
                <w:b/>
                <w:bCs/>
                <w:noProof/>
              </w:rPr>
              <w:t> </w:t>
            </w:r>
            <w:r w:rsidR="00355047">
              <w:rPr>
                <w:b/>
                <w:bCs/>
                <w:noProof/>
              </w:rPr>
              <w:t> </w:t>
            </w:r>
            <w:bookmarkEnd w:id="1"/>
            <w:r>
              <w:rPr>
                <w:b/>
                <w:bCs/>
              </w:rPr>
              <w:fldChar w:fldCharType="end"/>
            </w:r>
            <w:bookmarkEnd w:id="0"/>
          </w:p>
        </w:tc>
      </w:tr>
      <w:tr w:rsidR="007B1CE0" w:rsidRPr="008C5C2F" w:rsidTr="000E3733">
        <w:tc>
          <w:tcPr>
            <w:tcW w:w="10522" w:type="dxa"/>
            <w:gridSpan w:val="7"/>
            <w:tcBorders>
              <w:top w:val="single" w:sz="18" w:space="0" w:color="auto"/>
              <w:left w:val="single" w:sz="18" w:space="0" w:color="auto"/>
              <w:bottom w:val="nil"/>
              <w:right w:val="single" w:sz="18" w:space="0" w:color="auto"/>
            </w:tcBorders>
          </w:tcPr>
          <w:p w:rsidR="009F188C" w:rsidRDefault="009F188C" w:rsidP="009F188C">
            <w:pPr>
              <w:jc w:val="both"/>
              <w:rPr>
                <w:lang w:val="es-AR"/>
              </w:rPr>
            </w:pPr>
          </w:p>
          <w:p w:rsidR="00277D0A" w:rsidRPr="008C5C2F" w:rsidRDefault="00277D0A" w:rsidP="009F188C">
            <w:pPr>
              <w:jc w:val="both"/>
              <w:rPr>
                <w:lang w:val="es-AR"/>
              </w:rPr>
            </w:pPr>
            <w:r w:rsidRPr="008C5C2F">
              <w:rPr>
                <w:lang w:val="es-AR"/>
              </w:rPr>
              <w:t>Transcripción textual del Texto Ordenado “Depósito de Ahorro, Cuentas Sueldo y Especiales”.</w:t>
            </w:r>
          </w:p>
          <w:p w:rsidR="00277D0A" w:rsidRPr="008C5C2F" w:rsidRDefault="00277D0A" w:rsidP="009F188C">
            <w:pPr>
              <w:jc w:val="both"/>
              <w:rPr>
                <w:lang w:val="es-AR"/>
              </w:rPr>
            </w:pPr>
          </w:p>
          <w:p w:rsidR="00277D0A" w:rsidRPr="008C5C2F" w:rsidRDefault="00277D0A" w:rsidP="009F188C">
            <w:pPr>
              <w:jc w:val="both"/>
              <w:rPr>
                <w:lang w:val="es-AR"/>
              </w:rPr>
            </w:pPr>
            <w:r w:rsidRPr="008C5C2F">
              <w:rPr>
                <w:lang w:val="es-AR"/>
              </w:rPr>
              <w:t>3.5.1. Apertura.</w:t>
            </w:r>
          </w:p>
          <w:p w:rsidR="006E61C4" w:rsidRDefault="006E61C4" w:rsidP="006E61C4">
            <w:pPr>
              <w:jc w:val="both"/>
              <w:rPr>
                <w:lang w:val="es-AR"/>
              </w:rPr>
            </w:pPr>
            <w:r w:rsidRPr="006E61C4">
              <w:rPr>
                <w:lang w:val="es-AR"/>
              </w:rPr>
              <w:t>Los bancos comerciales de primer grado que habiliten a sus clientes a operar con cajeros</w:t>
            </w:r>
            <w:r>
              <w:rPr>
                <w:lang w:val="es-AR"/>
              </w:rPr>
              <w:t xml:space="preserve"> </w:t>
            </w:r>
            <w:r w:rsidRPr="006E61C4">
              <w:rPr>
                <w:lang w:val="es-AR"/>
              </w:rPr>
              <w:t>automáticos –propios o ajenos– deberán abrir estas cuentas a solicitud de la ANSES o</w:t>
            </w:r>
            <w:r>
              <w:rPr>
                <w:lang w:val="es-AR"/>
              </w:rPr>
              <w:t xml:space="preserve"> </w:t>
            </w:r>
            <w:r w:rsidRPr="006E61C4">
              <w:rPr>
                <w:lang w:val="es-AR"/>
              </w:rPr>
              <w:t>del ente administrador de los pagos que corresponda, a nombre de los titulares que informen</w:t>
            </w:r>
            <w:r>
              <w:rPr>
                <w:lang w:val="es-AR"/>
              </w:rPr>
              <w:t xml:space="preserve"> </w:t>
            </w:r>
            <w:r w:rsidRPr="006E61C4">
              <w:rPr>
                <w:lang w:val="es-AR"/>
              </w:rPr>
              <w:t>esos organismos y –de corresponder– a la orden de un apoderado o representante</w:t>
            </w:r>
            <w:r>
              <w:rPr>
                <w:lang w:val="es-AR"/>
              </w:rPr>
              <w:t xml:space="preserve"> </w:t>
            </w:r>
            <w:r w:rsidRPr="006E61C4">
              <w:rPr>
                <w:lang w:val="es-AR"/>
              </w:rPr>
              <w:t>legal (tutor, curador, etc.), suministrando como mínimo en todos los casos: apellido(s)</w:t>
            </w:r>
            <w:r>
              <w:rPr>
                <w:lang w:val="es-AR"/>
              </w:rPr>
              <w:t xml:space="preserve"> </w:t>
            </w:r>
            <w:r w:rsidRPr="006E61C4">
              <w:rPr>
                <w:lang w:val="es-AR"/>
              </w:rPr>
              <w:t>y nombre(s) completos y documento nacional de identidad.</w:t>
            </w:r>
          </w:p>
          <w:p w:rsidR="006E61C4" w:rsidRDefault="006E61C4" w:rsidP="006E61C4">
            <w:pPr>
              <w:jc w:val="both"/>
              <w:rPr>
                <w:lang w:val="es-AR"/>
              </w:rPr>
            </w:pPr>
            <w:r w:rsidRPr="006E61C4">
              <w:rPr>
                <w:lang w:val="es-AR"/>
              </w:rPr>
              <w:t>Las simples asociaciones beneficiarias de programas de ayuda social implementados por</w:t>
            </w:r>
            <w:r>
              <w:rPr>
                <w:lang w:val="es-AR"/>
              </w:rPr>
              <w:t xml:space="preserve"> </w:t>
            </w:r>
            <w:r w:rsidRPr="006E61C4">
              <w:rPr>
                <w:lang w:val="es-AR"/>
              </w:rPr>
              <w:t>el Ministerio de Desarrollo Social podrán abrir estas cuentas para acreditar exclusivamente</w:t>
            </w:r>
            <w:r>
              <w:rPr>
                <w:lang w:val="es-AR"/>
              </w:rPr>
              <w:t xml:space="preserve"> </w:t>
            </w:r>
            <w:r w:rsidRPr="006E61C4">
              <w:rPr>
                <w:lang w:val="es-AR"/>
              </w:rPr>
              <w:t>esos fondos.</w:t>
            </w:r>
          </w:p>
          <w:p w:rsidR="006E61C4" w:rsidRPr="008C5C2F" w:rsidRDefault="006E61C4" w:rsidP="006E61C4">
            <w:pPr>
              <w:jc w:val="both"/>
              <w:rPr>
                <w:lang w:val="es-AR"/>
              </w:rPr>
            </w:pPr>
            <w:r w:rsidRPr="006E61C4">
              <w:rPr>
                <w:lang w:val="es-AR"/>
              </w:rPr>
              <w:t>También se utilizará esta cuenta para las acreditaciones destinadas a la acreditación de</w:t>
            </w:r>
            <w:r>
              <w:rPr>
                <w:lang w:val="es-AR"/>
              </w:rPr>
              <w:t xml:space="preserve"> </w:t>
            </w:r>
            <w:r w:rsidRPr="006E61C4">
              <w:rPr>
                <w:lang w:val="es-AR"/>
              </w:rPr>
              <w:t>prestaciones de ayuda social a cargo de las jurisdicciones provinciales y la Ciudad Autónoma</w:t>
            </w:r>
            <w:r>
              <w:rPr>
                <w:lang w:val="es-AR"/>
              </w:rPr>
              <w:t xml:space="preserve"> </w:t>
            </w:r>
            <w:r w:rsidRPr="006E61C4">
              <w:rPr>
                <w:lang w:val="es-AR"/>
              </w:rPr>
              <w:t>de Buenos Aires que adhieran a los términos de la Ley 26.704.</w:t>
            </w:r>
          </w:p>
          <w:p w:rsidR="00277D0A" w:rsidRPr="008C5C2F" w:rsidRDefault="00277D0A" w:rsidP="009F188C">
            <w:pPr>
              <w:jc w:val="both"/>
              <w:rPr>
                <w:lang w:val="es-AR"/>
              </w:rPr>
            </w:pPr>
            <w:r w:rsidRPr="008C5C2F">
              <w:rPr>
                <w:lang w:val="es-AR"/>
              </w:rPr>
              <w:t>3.5.2. Identificación de los titulares.</w:t>
            </w:r>
          </w:p>
          <w:p w:rsidR="00277D0A" w:rsidRPr="008C5C2F" w:rsidRDefault="00277D0A" w:rsidP="009F188C">
            <w:pPr>
              <w:jc w:val="both"/>
              <w:rPr>
                <w:lang w:val="es-AR"/>
              </w:rPr>
            </w:pPr>
            <w:r w:rsidRPr="008C5C2F">
              <w:rPr>
                <w:lang w:val="es-AR"/>
              </w:rPr>
              <w:t>Se verificará mediante la presentación del documento nacional de identidad de los titulares,</w:t>
            </w:r>
            <w:r w:rsidR="008C5C2F" w:rsidRPr="008C5C2F">
              <w:rPr>
                <w:lang w:val="es-AR"/>
              </w:rPr>
              <w:t xml:space="preserve"> </w:t>
            </w:r>
            <w:r w:rsidRPr="008C5C2F">
              <w:rPr>
                <w:lang w:val="es-AR"/>
              </w:rPr>
              <w:t>con ajuste a l</w:t>
            </w:r>
            <w:r w:rsidR="008C5C2F" w:rsidRPr="008C5C2F">
              <w:rPr>
                <w:lang w:val="es-AR"/>
              </w:rPr>
              <w:t>o previsto en el artículo 14</w:t>
            </w:r>
            <w:r w:rsidRPr="008C5C2F">
              <w:rPr>
                <w:lang w:val="es-AR"/>
              </w:rPr>
              <w:t xml:space="preserve"> –inciso b– de la Ley 24.714 y modificatorios.</w:t>
            </w:r>
          </w:p>
          <w:p w:rsidR="00277D0A" w:rsidRPr="008C5C2F" w:rsidRDefault="00277D0A" w:rsidP="009F188C">
            <w:pPr>
              <w:autoSpaceDE w:val="0"/>
              <w:autoSpaceDN w:val="0"/>
              <w:adjustRightInd w:val="0"/>
              <w:jc w:val="both"/>
              <w:rPr>
                <w:lang w:val="es-AR" w:eastAsia="es-AR"/>
              </w:rPr>
            </w:pPr>
            <w:r w:rsidRPr="008C5C2F">
              <w:rPr>
                <w:lang w:val="es-AR" w:eastAsia="es-AR"/>
              </w:rPr>
              <w:t>Respecto de las simples asociaciones beneficiarias de programas de ayuda social implementados</w:t>
            </w:r>
            <w:r w:rsidR="008C5C2F">
              <w:rPr>
                <w:lang w:val="es-AR" w:eastAsia="es-AR"/>
              </w:rPr>
              <w:t xml:space="preserve"> </w:t>
            </w:r>
            <w:r w:rsidRPr="008C5C2F">
              <w:rPr>
                <w:lang w:val="es-AR" w:eastAsia="es-AR"/>
              </w:rPr>
              <w:t>por el Ministerio de Desarrollo Social, se verificará mediante la documentación</w:t>
            </w:r>
            <w:r w:rsidR="008C5C2F">
              <w:rPr>
                <w:lang w:val="es-AR" w:eastAsia="es-AR"/>
              </w:rPr>
              <w:t xml:space="preserve"> </w:t>
            </w:r>
            <w:r w:rsidRPr="008C5C2F">
              <w:rPr>
                <w:lang w:val="es-AR" w:eastAsia="es-AR"/>
              </w:rPr>
              <w:t>detallada en el pu</w:t>
            </w:r>
            <w:r w:rsidR="008C5C2F">
              <w:rPr>
                <w:lang w:val="es-AR" w:eastAsia="es-AR"/>
              </w:rPr>
              <w:t xml:space="preserve">nto 3.4.2. sin ser necesaria la </w:t>
            </w:r>
            <w:r w:rsidRPr="008C5C2F">
              <w:rPr>
                <w:lang w:val="es-AR" w:eastAsia="es-AR"/>
              </w:rPr>
              <w:t>inscripción en el Registro Público de la</w:t>
            </w:r>
            <w:r w:rsidR="008C5C2F">
              <w:rPr>
                <w:lang w:val="es-AR" w:eastAsia="es-AR"/>
              </w:rPr>
              <w:t xml:space="preserve"> </w:t>
            </w:r>
            <w:r w:rsidRPr="008C5C2F">
              <w:rPr>
                <w:lang w:val="es-AR" w:eastAsia="es-AR"/>
              </w:rPr>
              <w:t>correspondiente jurisdicción.</w:t>
            </w:r>
          </w:p>
          <w:p w:rsidR="00277D0A" w:rsidRPr="008C5C2F" w:rsidRDefault="00277D0A" w:rsidP="009F188C">
            <w:pPr>
              <w:autoSpaceDE w:val="0"/>
              <w:autoSpaceDN w:val="0"/>
              <w:adjustRightInd w:val="0"/>
              <w:jc w:val="both"/>
              <w:rPr>
                <w:lang w:val="es-AR" w:eastAsia="es-AR"/>
              </w:rPr>
            </w:pPr>
            <w:r w:rsidRPr="008C5C2F">
              <w:rPr>
                <w:lang w:val="es-AR" w:eastAsia="es-AR"/>
              </w:rPr>
              <w:t>3.5.3. Depósitos.</w:t>
            </w:r>
          </w:p>
          <w:p w:rsidR="00277D0A" w:rsidRPr="008C5C2F" w:rsidRDefault="00277D0A" w:rsidP="009F188C">
            <w:pPr>
              <w:autoSpaceDE w:val="0"/>
              <w:autoSpaceDN w:val="0"/>
              <w:adjustRightInd w:val="0"/>
              <w:jc w:val="both"/>
              <w:rPr>
                <w:lang w:val="es-AR" w:eastAsia="es-AR"/>
              </w:rPr>
            </w:pPr>
            <w:r w:rsidRPr="008C5C2F">
              <w:rPr>
                <w:lang w:val="es-AR" w:eastAsia="es-AR"/>
              </w:rPr>
              <w:t>Se acreditarán los beneficios correspondientes a la asignación universal por hijo para</w:t>
            </w:r>
            <w:r w:rsidR="008C5C2F">
              <w:rPr>
                <w:lang w:val="es-AR" w:eastAsia="es-AR"/>
              </w:rPr>
              <w:t xml:space="preserve"> </w:t>
            </w:r>
            <w:r w:rsidRPr="008C5C2F">
              <w:rPr>
                <w:lang w:val="es-AR" w:eastAsia="es-AR"/>
              </w:rPr>
              <w:t>protección social (Decreto N° 1602/09), a las asignaciones familiares (artículo 7° del Decreto</w:t>
            </w:r>
            <w:r w:rsidR="008C5C2F">
              <w:rPr>
                <w:lang w:val="es-AR" w:eastAsia="es-AR"/>
              </w:rPr>
              <w:t xml:space="preserve"> </w:t>
            </w:r>
            <w:r w:rsidRPr="008C5C2F">
              <w:rPr>
                <w:lang w:val="es-AR" w:eastAsia="es-AR"/>
              </w:rPr>
              <w:t>N° 614/13) –cuando la/el beneficiaria/o no cuente con una cuenta sueldo/de la seguridad</w:t>
            </w:r>
            <w:r w:rsidR="008C5C2F">
              <w:rPr>
                <w:lang w:val="es-AR" w:eastAsia="es-AR"/>
              </w:rPr>
              <w:t xml:space="preserve"> </w:t>
            </w:r>
            <w:r w:rsidRPr="008C5C2F">
              <w:rPr>
                <w:lang w:val="es-AR" w:eastAsia="es-AR"/>
              </w:rPr>
              <w:t>social abierta– o a planes o programas de ayuda social implementados por el</w:t>
            </w:r>
            <w:r w:rsidR="008C5C2F">
              <w:rPr>
                <w:lang w:val="es-AR" w:eastAsia="es-AR"/>
              </w:rPr>
              <w:t xml:space="preserve"> </w:t>
            </w:r>
            <w:r w:rsidRPr="008C5C2F">
              <w:rPr>
                <w:lang w:val="es-AR" w:eastAsia="es-AR"/>
              </w:rPr>
              <w:t>Gobierno Nacional y otras jurisdicciones (artículos 3° y 4° de la Ley 26.704), reintegros</w:t>
            </w:r>
            <w:r w:rsidR="008C5C2F">
              <w:rPr>
                <w:lang w:val="es-AR" w:eastAsia="es-AR"/>
              </w:rPr>
              <w:t xml:space="preserve"> </w:t>
            </w:r>
            <w:r w:rsidRPr="008C5C2F">
              <w:rPr>
                <w:lang w:val="es-AR" w:eastAsia="es-AR"/>
              </w:rPr>
              <w:t>fiscales, promociones de la entidad financiera, préstamos y otros conceptos derivados del</w:t>
            </w:r>
            <w:r w:rsidR="008C5C2F">
              <w:rPr>
                <w:lang w:val="es-AR" w:eastAsia="es-AR"/>
              </w:rPr>
              <w:t xml:space="preserve"> </w:t>
            </w:r>
            <w:r w:rsidRPr="008C5C2F">
              <w:rPr>
                <w:lang w:val="es-AR" w:eastAsia="es-AR"/>
              </w:rPr>
              <w:t>mismo beneficio o pago, en pesos.</w:t>
            </w:r>
          </w:p>
          <w:p w:rsidR="00277D0A" w:rsidRPr="008C5C2F" w:rsidRDefault="00277D0A" w:rsidP="009F188C">
            <w:pPr>
              <w:autoSpaceDE w:val="0"/>
              <w:autoSpaceDN w:val="0"/>
              <w:adjustRightInd w:val="0"/>
              <w:jc w:val="both"/>
              <w:rPr>
                <w:lang w:val="es-AR" w:eastAsia="es-AR"/>
              </w:rPr>
            </w:pPr>
            <w:r w:rsidRPr="008C5C2F">
              <w:rPr>
                <w:lang w:val="es-AR" w:eastAsia="es-AR"/>
              </w:rPr>
              <w:t>Asimismo, se admitirán acreditaciones –por todo concepto y efectuadas a través de</w:t>
            </w:r>
            <w:r w:rsidR="008C5C2F">
              <w:rPr>
                <w:lang w:val="es-AR" w:eastAsia="es-AR"/>
              </w:rPr>
              <w:t xml:space="preserve"> cualquier modalidad– </w:t>
            </w:r>
            <w:r w:rsidRPr="008C5C2F">
              <w:rPr>
                <w:lang w:val="es-AR" w:eastAsia="es-AR"/>
              </w:rPr>
              <w:t>adicionales a las antes mencionadas hasta el importe equivalente</w:t>
            </w:r>
            <w:r w:rsidR="008C5C2F">
              <w:rPr>
                <w:lang w:val="es-AR" w:eastAsia="es-AR"/>
              </w:rPr>
              <w:t xml:space="preserve"> </w:t>
            </w:r>
            <w:r w:rsidRPr="008C5C2F">
              <w:rPr>
                <w:lang w:val="es-AR" w:eastAsia="es-AR"/>
              </w:rPr>
              <w:t>a 5 (cinco) veces el Salario Mínimo, Vital y Móvil –establecido por el Consejo Nacional</w:t>
            </w:r>
            <w:r w:rsidR="008C5C2F">
              <w:rPr>
                <w:lang w:val="es-AR" w:eastAsia="es-AR"/>
              </w:rPr>
              <w:t xml:space="preserve"> </w:t>
            </w:r>
            <w:r w:rsidRPr="008C5C2F">
              <w:rPr>
                <w:lang w:val="es-AR" w:eastAsia="es-AR"/>
              </w:rPr>
              <w:t>del Empleo, la Productividad y el Salario</w:t>
            </w:r>
            <w:r w:rsidR="008C5C2F">
              <w:rPr>
                <w:lang w:val="es-AR" w:eastAsia="es-AR"/>
              </w:rPr>
              <w:t xml:space="preserve"> Mínimo, Vital y Móvil para los </w:t>
            </w:r>
            <w:r w:rsidRPr="008C5C2F">
              <w:rPr>
                <w:lang w:val="es-AR" w:eastAsia="es-AR"/>
              </w:rPr>
              <w:t>trabajadores</w:t>
            </w:r>
            <w:r w:rsidR="008C5C2F">
              <w:rPr>
                <w:lang w:val="es-AR" w:eastAsia="es-AR"/>
              </w:rPr>
              <w:t xml:space="preserve"> </w:t>
            </w:r>
            <w:r w:rsidRPr="008C5C2F">
              <w:rPr>
                <w:lang w:val="es-AR" w:eastAsia="es-AR"/>
              </w:rPr>
              <w:t>mensualizados que cumplan la jornada legal completa de trabajo–, por mes calendario.</w:t>
            </w:r>
          </w:p>
          <w:p w:rsidR="00277D0A" w:rsidRPr="008C5C2F" w:rsidRDefault="00277D0A" w:rsidP="009F188C">
            <w:pPr>
              <w:autoSpaceDE w:val="0"/>
              <w:autoSpaceDN w:val="0"/>
              <w:adjustRightInd w:val="0"/>
              <w:jc w:val="both"/>
              <w:rPr>
                <w:lang w:val="es-AR" w:eastAsia="es-AR"/>
              </w:rPr>
            </w:pPr>
            <w:r w:rsidRPr="008C5C2F">
              <w:rPr>
                <w:lang w:val="es-AR" w:eastAsia="es-AR"/>
              </w:rPr>
              <w:t>3.5.4. Movimientos sin cargo.</w:t>
            </w:r>
          </w:p>
          <w:p w:rsidR="00277D0A" w:rsidRPr="008C5C2F" w:rsidRDefault="00277D0A" w:rsidP="009F188C">
            <w:pPr>
              <w:autoSpaceDE w:val="0"/>
              <w:autoSpaceDN w:val="0"/>
              <w:adjustRightInd w:val="0"/>
              <w:jc w:val="both"/>
              <w:rPr>
                <w:lang w:val="es-AR" w:eastAsia="es-AR"/>
              </w:rPr>
            </w:pPr>
            <w:r w:rsidRPr="008C5C2F">
              <w:rPr>
                <w:lang w:val="es-AR" w:eastAsia="es-AR"/>
              </w:rPr>
              <w:t>Como mínimo, las siguientes operaciones:</w:t>
            </w:r>
          </w:p>
          <w:p w:rsidR="00277D0A" w:rsidRPr="008C5C2F" w:rsidRDefault="00277D0A" w:rsidP="009F188C">
            <w:pPr>
              <w:autoSpaceDE w:val="0"/>
              <w:autoSpaceDN w:val="0"/>
              <w:adjustRightInd w:val="0"/>
              <w:jc w:val="both"/>
              <w:rPr>
                <w:lang w:val="es-AR" w:eastAsia="es-AR"/>
              </w:rPr>
            </w:pPr>
            <w:r w:rsidRPr="008C5C2F">
              <w:rPr>
                <w:lang w:val="es-AR" w:eastAsia="es-AR"/>
              </w:rPr>
              <w:t>- Apertura y mantenimiento de cuenta.</w:t>
            </w:r>
          </w:p>
          <w:p w:rsidR="00277D0A" w:rsidRPr="008C5C2F" w:rsidRDefault="00277D0A" w:rsidP="009F188C">
            <w:pPr>
              <w:autoSpaceDE w:val="0"/>
              <w:autoSpaceDN w:val="0"/>
              <w:adjustRightInd w:val="0"/>
              <w:jc w:val="both"/>
              <w:rPr>
                <w:lang w:val="es-AR" w:eastAsia="es-AR"/>
              </w:rPr>
            </w:pPr>
            <w:r w:rsidRPr="008C5C2F">
              <w:rPr>
                <w:lang w:val="es-AR" w:eastAsia="es-AR"/>
              </w:rPr>
              <w:t>- Acreditaciones –según lo previsto en el punto 3.5.3.–.</w:t>
            </w:r>
          </w:p>
          <w:p w:rsidR="00277D0A" w:rsidRPr="008C5C2F" w:rsidRDefault="00277D0A" w:rsidP="009F188C">
            <w:pPr>
              <w:autoSpaceDE w:val="0"/>
              <w:autoSpaceDN w:val="0"/>
              <w:adjustRightInd w:val="0"/>
              <w:jc w:val="both"/>
              <w:rPr>
                <w:lang w:val="es-AR" w:eastAsia="es-AR"/>
              </w:rPr>
            </w:pPr>
            <w:r w:rsidRPr="008C5C2F">
              <w:rPr>
                <w:lang w:val="es-AR" w:eastAsia="es-AR"/>
              </w:rPr>
              <w:t>- Extracciones de fondos mediante todos los cajeros automáticos habilitados en el país</w:t>
            </w:r>
            <w:r w:rsidR="008C5C2F">
              <w:rPr>
                <w:lang w:val="es-AR" w:eastAsia="es-AR"/>
              </w:rPr>
              <w:t xml:space="preserve"> </w:t>
            </w:r>
            <w:r w:rsidRPr="008C5C2F">
              <w:rPr>
                <w:lang w:val="es-AR" w:eastAsia="es-AR"/>
              </w:rPr>
              <w:t>por cualquier entidad financiera, sin límites de importe (salvo los que expresamente</w:t>
            </w:r>
            <w:r w:rsidR="008C5C2F">
              <w:rPr>
                <w:lang w:val="es-AR" w:eastAsia="es-AR"/>
              </w:rPr>
              <w:t xml:space="preserve"> </w:t>
            </w:r>
            <w:r w:rsidRPr="008C5C2F">
              <w:rPr>
                <w:lang w:val="es-AR" w:eastAsia="es-AR"/>
              </w:rPr>
              <w:t>se convengan por razones de seguridad y/o resulten de restricciones operativas del</w:t>
            </w:r>
            <w:r w:rsidR="008C5C2F">
              <w:rPr>
                <w:lang w:val="es-AR" w:eastAsia="es-AR"/>
              </w:rPr>
              <w:t xml:space="preserve"> </w:t>
            </w:r>
            <w:r w:rsidRPr="008C5C2F">
              <w:rPr>
                <w:lang w:val="es-AR" w:eastAsia="es-AR"/>
              </w:rPr>
              <w:t>equipo) ni de cantidad de extracciones, ni distinción alguna entre clientes y no clientes.</w:t>
            </w:r>
          </w:p>
          <w:p w:rsidR="00277D0A" w:rsidRPr="008C5C2F" w:rsidRDefault="00277D0A" w:rsidP="009F188C">
            <w:pPr>
              <w:autoSpaceDE w:val="0"/>
              <w:autoSpaceDN w:val="0"/>
              <w:adjustRightInd w:val="0"/>
              <w:jc w:val="both"/>
              <w:rPr>
                <w:lang w:val="es-AR" w:eastAsia="es-AR"/>
              </w:rPr>
            </w:pPr>
            <w:r w:rsidRPr="008C5C2F">
              <w:rPr>
                <w:lang w:val="es-AR" w:eastAsia="es-AR"/>
              </w:rPr>
              <w:t>A los efectos de permitir la extracción total del saldo de la cuenta por esta vía, las entidades</w:t>
            </w:r>
            <w:r w:rsidR="008C5C2F">
              <w:rPr>
                <w:lang w:val="es-AR" w:eastAsia="es-AR"/>
              </w:rPr>
              <w:t xml:space="preserve"> </w:t>
            </w:r>
            <w:r w:rsidRPr="008C5C2F">
              <w:rPr>
                <w:lang w:val="es-AR" w:eastAsia="es-AR"/>
              </w:rPr>
              <w:t>financieras pagadoras podrán prever, sin costo alguno para el beneficiario, el</w:t>
            </w:r>
            <w:r w:rsidR="008C5C2F">
              <w:rPr>
                <w:lang w:val="es-AR" w:eastAsia="es-AR"/>
              </w:rPr>
              <w:t xml:space="preserve"> </w:t>
            </w:r>
            <w:r w:rsidRPr="008C5C2F">
              <w:rPr>
                <w:lang w:val="es-AR" w:eastAsia="es-AR"/>
              </w:rPr>
              <w:t>redondeo hacia arriba de la suma a pagar, anticipando los fondos por hasta</w:t>
            </w:r>
            <w:r w:rsidR="008C5C2F">
              <w:rPr>
                <w:lang w:val="es-AR" w:eastAsia="es-AR"/>
              </w:rPr>
              <w:t xml:space="preserve"> </w:t>
            </w:r>
            <w:r w:rsidRPr="008C5C2F">
              <w:rPr>
                <w:lang w:val="es-AR" w:eastAsia="es-AR"/>
              </w:rPr>
              <w:t>$ 99,99 de acuerdo con la disponibilidad de numerario en los cajeros automáticos,</w:t>
            </w:r>
            <w:r w:rsidR="008C5C2F">
              <w:rPr>
                <w:lang w:val="es-AR" w:eastAsia="es-AR"/>
              </w:rPr>
              <w:t xml:space="preserve"> </w:t>
            </w:r>
            <w:r w:rsidRPr="008C5C2F">
              <w:rPr>
                <w:lang w:val="es-AR" w:eastAsia="es-AR"/>
              </w:rPr>
              <w:t>descontando del próximo haber acreditado el importe efectivamente adelantado.</w:t>
            </w:r>
          </w:p>
          <w:p w:rsidR="00277D0A" w:rsidRPr="008C5C2F" w:rsidRDefault="00277D0A" w:rsidP="009F188C">
            <w:pPr>
              <w:autoSpaceDE w:val="0"/>
              <w:autoSpaceDN w:val="0"/>
              <w:adjustRightInd w:val="0"/>
              <w:jc w:val="both"/>
              <w:rPr>
                <w:lang w:val="es-AR" w:eastAsia="es-AR"/>
              </w:rPr>
            </w:pPr>
            <w:r w:rsidRPr="008C5C2F">
              <w:rPr>
                <w:lang w:val="es-AR" w:eastAsia="es-AR"/>
              </w:rPr>
              <w:lastRenderedPageBreak/>
              <w:t>Adicionalmente, todos los cajeros automáticos habilitados en el país por cualquier entidad</w:t>
            </w:r>
            <w:r w:rsidR="008C5C2F">
              <w:rPr>
                <w:lang w:val="es-AR" w:eastAsia="es-AR"/>
              </w:rPr>
              <w:t xml:space="preserve"> </w:t>
            </w:r>
            <w:r w:rsidRPr="008C5C2F">
              <w:rPr>
                <w:lang w:val="es-AR" w:eastAsia="es-AR"/>
              </w:rPr>
              <w:t>financi</w:t>
            </w:r>
            <w:r w:rsidR="008C5C2F">
              <w:rPr>
                <w:lang w:val="es-AR" w:eastAsia="es-AR"/>
              </w:rPr>
              <w:t xml:space="preserve">era deberán </w:t>
            </w:r>
            <w:r w:rsidRPr="008C5C2F">
              <w:rPr>
                <w:lang w:val="es-AR" w:eastAsia="es-AR"/>
              </w:rPr>
              <w:t>informar, a través de sus respectivas pantallas, la fecha correspondiente</w:t>
            </w:r>
            <w:r w:rsidR="008C5C2F">
              <w:rPr>
                <w:lang w:val="es-AR" w:eastAsia="es-AR"/>
              </w:rPr>
              <w:t xml:space="preserve"> </w:t>
            </w:r>
            <w:r w:rsidRPr="008C5C2F">
              <w:rPr>
                <w:lang w:val="es-AR" w:eastAsia="es-AR"/>
              </w:rPr>
              <w:t>al próximo pago de la asignación universal por hijo para protección social,</w:t>
            </w:r>
            <w:r w:rsidR="008C5C2F">
              <w:rPr>
                <w:lang w:val="es-AR" w:eastAsia="es-AR"/>
              </w:rPr>
              <w:t xml:space="preserve"> </w:t>
            </w:r>
            <w:r w:rsidRPr="008C5C2F">
              <w:rPr>
                <w:lang w:val="es-AR" w:eastAsia="es-AR"/>
              </w:rPr>
              <w:t>de acuerdo con la información que proporcione la ANSES.</w:t>
            </w:r>
          </w:p>
          <w:p w:rsidR="00277D0A" w:rsidRPr="008C5C2F" w:rsidRDefault="00277D0A" w:rsidP="009F188C">
            <w:pPr>
              <w:autoSpaceDE w:val="0"/>
              <w:autoSpaceDN w:val="0"/>
              <w:adjustRightInd w:val="0"/>
              <w:jc w:val="both"/>
              <w:rPr>
                <w:lang w:val="es-AR" w:eastAsia="es-AR"/>
              </w:rPr>
            </w:pPr>
            <w:r w:rsidRPr="008C5C2F">
              <w:rPr>
                <w:lang w:val="es-AR" w:eastAsia="es-AR"/>
              </w:rPr>
              <w:t>- Extracciones de efectivo por ventanilla, de acuerdo con las condiciones previstas en</w:t>
            </w:r>
            <w:r w:rsidR="008C5C2F">
              <w:rPr>
                <w:lang w:val="es-AR" w:eastAsia="es-AR"/>
              </w:rPr>
              <w:t xml:space="preserve"> </w:t>
            </w:r>
            <w:r w:rsidRPr="008C5C2F">
              <w:rPr>
                <w:lang w:val="es-AR" w:eastAsia="es-AR"/>
              </w:rPr>
              <w:t>el punto 4.11.</w:t>
            </w:r>
          </w:p>
          <w:p w:rsidR="00277D0A" w:rsidRPr="008C5C2F" w:rsidRDefault="00277D0A" w:rsidP="009F188C">
            <w:pPr>
              <w:jc w:val="both"/>
              <w:rPr>
                <w:lang w:val="es-AR" w:eastAsia="es-AR"/>
              </w:rPr>
            </w:pPr>
            <w:r w:rsidRPr="008C5C2F">
              <w:rPr>
                <w:lang w:val="es-AR" w:eastAsia="es-AR"/>
              </w:rPr>
              <w:t>- Compras y/o retiros de efectivo en comercios adheridos, efectuados con la tarjeta de débito.</w:t>
            </w:r>
          </w:p>
          <w:p w:rsidR="00277D0A" w:rsidRPr="008C5C2F" w:rsidRDefault="00277D0A" w:rsidP="009F188C">
            <w:pPr>
              <w:autoSpaceDE w:val="0"/>
              <w:autoSpaceDN w:val="0"/>
              <w:adjustRightInd w:val="0"/>
              <w:jc w:val="both"/>
              <w:rPr>
                <w:lang w:val="es-AR" w:eastAsia="es-AR"/>
              </w:rPr>
            </w:pPr>
            <w:r w:rsidRPr="008C5C2F">
              <w:rPr>
                <w:lang w:val="es-AR" w:eastAsia="es-AR"/>
              </w:rPr>
              <w:t>Pago de impuestos, servicios y otros conceptos por canales electrónicos (cajero automático,</w:t>
            </w:r>
            <w:r w:rsidR="008C5C2F">
              <w:rPr>
                <w:lang w:val="es-AR" w:eastAsia="es-AR"/>
              </w:rPr>
              <w:t xml:space="preserve"> </w:t>
            </w:r>
            <w:r w:rsidRPr="008C5C2F">
              <w:rPr>
                <w:lang w:val="es-AR" w:eastAsia="es-AR"/>
              </w:rPr>
              <w:t>banca por Internet –“home banking”–, etc.) o mediante el sistema de débito</w:t>
            </w:r>
            <w:r w:rsidR="008C5C2F">
              <w:rPr>
                <w:lang w:val="es-AR" w:eastAsia="es-AR"/>
              </w:rPr>
              <w:t xml:space="preserve"> </w:t>
            </w:r>
            <w:r w:rsidRPr="008C5C2F">
              <w:rPr>
                <w:lang w:val="es-AR" w:eastAsia="es-AR"/>
              </w:rPr>
              <w:t>automático, sin límite de adhesiones.</w:t>
            </w:r>
          </w:p>
          <w:p w:rsidR="00277D0A" w:rsidRPr="008C5C2F" w:rsidRDefault="00277D0A" w:rsidP="009F188C">
            <w:pPr>
              <w:autoSpaceDE w:val="0"/>
              <w:autoSpaceDN w:val="0"/>
              <w:adjustRightInd w:val="0"/>
              <w:jc w:val="both"/>
              <w:rPr>
                <w:lang w:val="es-AR" w:eastAsia="es-AR"/>
              </w:rPr>
            </w:pPr>
            <w:r w:rsidRPr="008C5C2F">
              <w:rPr>
                <w:lang w:val="es-AR" w:eastAsia="es-AR"/>
              </w:rPr>
              <w:t>- Operaciones que se efectúen a través de cajeros automáticos y terminales de autoservicio</w:t>
            </w:r>
            <w:r w:rsidR="008C5C2F">
              <w:rPr>
                <w:lang w:val="es-AR" w:eastAsia="es-AR"/>
              </w:rPr>
              <w:t xml:space="preserve"> </w:t>
            </w:r>
            <w:r w:rsidRPr="008C5C2F">
              <w:rPr>
                <w:lang w:val="es-AR" w:eastAsia="es-AR"/>
              </w:rPr>
              <w:t>en casas operativas de la entidad financiera emisora de la tarjeta de débito,</w:t>
            </w:r>
            <w:r w:rsidR="008C5C2F">
              <w:rPr>
                <w:lang w:val="es-AR" w:eastAsia="es-AR"/>
              </w:rPr>
              <w:t xml:space="preserve"> </w:t>
            </w:r>
            <w:r w:rsidRPr="008C5C2F">
              <w:rPr>
                <w:lang w:val="es-AR" w:eastAsia="es-AR"/>
              </w:rPr>
              <w:t>sin perjuicio de lo previsto para las extracciones de fondos en el tercer acápite de este</w:t>
            </w:r>
            <w:r w:rsidR="008C5C2F">
              <w:rPr>
                <w:lang w:val="es-AR" w:eastAsia="es-AR"/>
              </w:rPr>
              <w:t xml:space="preserve"> </w:t>
            </w:r>
            <w:r w:rsidRPr="008C5C2F">
              <w:rPr>
                <w:lang w:val="es-AR" w:eastAsia="es-AR"/>
              </w:rPr>
              <w:t>punto.</w:t>
            </w:r>
          </w:p>
          <w:p w:rsidR="00277D0A" w:rsidRPr="008C5C2F" w:rsidRDefault="00277D0A" w:rsidP="009F188C">
            <w:pPr>
              <w:autoSpaceDE w:val="0"/>
              <w:autoSpaceDN w:val="0"/>
              <w:adjustRightInd w:val="0"/>
              <w:jc w:val="both"/>
              <w:rPr>
                <w:lang w:val="es-AR" w:eastAsia="es-AR"/>
              </w:rPr>
            </w:pPr>
            <w:r w:rsidRPr="008C5C2F">
              <w:rPr>
                <w:lang w:val="es-AR" w:eastAsia="es-AR"/>
              </w:rPr>
              <w:t>- Utilización de banca por Internet (“home banking”).</w:t>
            </w:r>
          </w:p>
          <w:p w:rsidR="00277D0A" w:rsidRPr="008C5C2F" w:rsidRDefault="00277D0A" w:rsidP="009F188C">
            <w:pPr>
              <w:jc w:val="both"/>
              <w:rPr>
                <w:lang w:val="es-AR" w:eastAsia="es-AR"/>
              </w:rPr>
            </w:pPr>
            <w:r w:rsidRPr="008C5C2F">
              <w:rPr>
                <w:lang w:val="es-AR" w:eastAsia="es-AR"/>
              </w:rPr>
              <w:t>Los movimientos –cualquiera sea su naturaleza– no podrán generar saldo deudor.</w:t>
            </w:r>
          </w:p>
          <w:p w:rsidR="00277D0A" w:rsidRPr="008C5C2F" w:rsidRDefault="00277D0A" w:rsidP="009F188C">
            <w:pPr>
              <w:autoSpaceDE w:val="0"/>
              <w:autoSpaceDN w:val="0"/>
              <w:adjustRightInd w:val="0"/>
              <w:jc w:val="both"/>
              <w:rPr>
                <w:lang w:val="es-AR" w:eastAsia="es-AR"/>
              </w:rPr>
            </w:pPr>
            <w:r w:rsidRPr="008C5C2F">
              <w:rPr>
                <w:lang w:val="es-AR" w:eastAsia="es-AR"/>
              </w:rPr>
              <w:t>3.5.5. Tarjeta de débito.</w:t>
            </w:r>
          </w:p>
          <w:p w:rsidR="00277D0A" w:rsidRPr="008C5C2F" w:rsidRDefault="00277D0A" w:rsidP="009F188C">
            <w:pPr>
              <w:autoSpaceDE w:val="0"/>
              <w:autoSpaceDN w:val="0"/>
              <w:adjustRightInd w:val="0"/>
              <w:jc w:val="both"/>
              <w:rPr>
                <w:lang w:val="es-AR" w:eastAsia="es-AR"/>
              </w:rPr>
            </w:pPr>
            <w:r w:rsidRPr="008C5C2F">
              <w:rPr>
                <w:lang w:val="es-AR" w:eastAsia="es-AR"/>
              </w:rPr>
              <w:t>Deberá proveerse –sin cargo– al titular de la cuenta y a su apoderado –de corresponder–</w:t>
            </w:r>
            <w:r w:rsidR="008C5C2F">
              <w:rPr>
                <w:lang w:val="es-AR" w:eastAsia="es-AR"/>
              </w:rPr>
              <w:t xml:space="preserve"> </w:t>
            </w:r>
            <w:r w:rsidRPr="008C5C2F">
              <w:rPr>
                <w:lang w:val="es-AR" w:eastAsia="es-AR"/>
              </w:rPr>
              <w:t>de una tarjeta magnética que les permitirá operar con los cajeros automáticos y</w:t>
            </w:r>
            <w:r w:rsidR="008C5C2F">
              <w:rPr>
                <w:lang w:val="es-AR" w:eastAsia="es-AR"/>
              </w:rPr>
              <w:t xml:space="preserve"> </w:t>
            </w:r>
            <w:r w:rsidRPr="008C5C2F">
              <w:rPr>
                <w:lang w:val="es-AR" w:eastAsia="es-AR"/>
              </w:rPr>
              <w:t>realizar las demás operaciones previstas en el punto 3.5.4., no siendo pertinente su entrega</w:t>
            </w:r>
            <w:r w:rsidR="008C5C2F">
              <w:rPr>
                <w:lang w:val="es-AR" w:eastAsia="es-AR"/>
              </w:rPr>
              <w:t xml:space="preserve"> </w:t>
            </w:r>
            <w:r w:rsidRPr="008C5C2F">
              <w:rPr>
                <w:lang w:val="es-AR" w:eastAsia="es-AR"/>
              </w:rPr>
              <w:t>al titular cuando se haya designado un representante legal, en cuyo caso la entrega</w:t>
            </w:r>
          </w:p>
          <w:p w:rsidR="00277D0A" w:rsidRPr="008C5C2F" w:rsidRDefault="00277D0A" w:rsidP="009F188C">
            <w:pPr>
              <w:autoSpaceDE w:val="0"/>
              <w:autoSpaceDN w:val="0"/>
              <w:adjustRightInd w:val="0"/>
              <w:jc w:val="both"/>
              <w:rPr>
                <w:lang w:val="es-AR" w:eastAsia="es-AR"/>
              </w:rPr>
            </w:pPr>
            <w:r w:rsidRPr="008C5C2F">
              <w:rPr>
                <w:lang w:val="es-AR" w:eastAsia="es-AR"/>
              </w:rPr>
              <w:t>procederá a este último.</w:t>
            </w:r>
          </w:p>
          <w:p w:rsidR="00277D0A" w:rsidRPr="008C5C2F" w:rsidRDefault="00277D0A" w:rsidP="009F188C">
            <w:pPr>
              <w:autoSpaceDE w:val="0"/>
              <w:autoSpaceDN w:val="0"/>
              <w:adjustRightInd w:val="0"/>
              <w:jc w:val="both"/>
              <w:rPr>
                <w:lang w:val="es-AR" w:eastAsia="es-AR"/>
              </w:rPr>
            </w:pPr>
            <w:r w:rsidRPr="008C5C2F">
              <w:rPr>
                <w:lang w:val="es-AR" w:eastAsia="es-AR"/>
              </w:rPr>
              <w:t>Los reemplazos originados por las causales desmagnetización y/o el cumplimiento de</w:t>
            </w:r>
            <w:r w:rsidR="008C5C2F">
              <w:rPr>
                <w:lang w:val="es-AR" w:eastAsia="es-AR"/>
              </w:rPr>
              <w:t xml:space="preserve"> </w:t>
            </w:r>
            <w:r w:rsidRPr="008C5C2F">
              <w:rPr>
                <w:lang w:val="es-AR" w:eastAsia="es-AR"/>
              </w:rPr>
              <w:t>los requisitos mínimos de seguridad establecidos en las normas sobre “Requisitos mínimos</w:t>
            </w:r>
            <w:r w:rsidR="008C5C2F">
              <w:rPr>
                <w:lang w:val="es-AR" w:eastAsia="es-AR"/>
              </w:rPr>
              <w:t xml:space="preserve"> </w:t>
            </w:r>
            <w:r w:rsidRPr="008C5C2F">
              <w:rPr>
                <w:lang w:val="es-AR" w:eastAsia="es-AR"/>
              </w:rPr>
              <w:t>de gestión, implementación y control de los</w:t>
            </w:r>
            <w:r w:rsidR="008C5C2F">
              <w:rPr>
                <w:lang w:val="es-AR" w:eastAsia="es-AR"/>
              </w:rPr>
              <w:t xml:space="preserve"> </w:t>
            </w:r>
            <w:r w:rsidRPr="008C5C2F">
              <w:rPr>
                <w:lang w:val="es-AR" w:eastAsia="es-AR"/>
              </w:rPr>
              <w:t>riesgos relacionados con tecnología informática,</w:t>
            </w:r>
            <w:r w:rsidR="008C5C2F">
              <w:rPr>
                <w:lang w:val="es-AR" w:eastAsia="es-AR"/>
              </w:rPr>
              <w:t xml:space="preserve"> </w:t>
            </w:r>
            <w:r w:rsidRPr="008C5C2F">
              <w:rPr>
                <w:lang w:val="es-AR" w:eastAsia="es-AR"/>
              </w:rPr>
              <w:t>sistemas de información y recursos asociados para las entidades financieras”</w:t>
            </w:r>
            <w:r w:rsidR="008C5C2F">
              <w:rPr>
                <w:lang w:val="es-AR" w:eastAsia="es-AR"/>
              </w:rPr>
              <w:t xml:space="preserve"> </w:t>
            </w:r>
            <w:r w:rsidRPr="008C5C2F">
              <w:rPr>
                <w:lang w:val="es-AR" w:eastAsia="es-AR"/>
              </w:rPr>
              <w:t>no deberán tener costo para el cliente.</w:t>
            </w:r>
          </w:p>
          <w:p w:rsidR="00277D0A" w:rsidRPr="008C5C2F" w:rsidRDefault="00277D0A" w:rsidP="009F188C">
            <w:pPr>
              <w:autoSpaceDE w:val="0"/>
              <w:autoSpaceDN w:val="0"/>
              <w:adjustRightInd w:val="0"/>
              <w:jc w:val="both"/>
              <w:rPr>
                <w:lang w:val="es-AR" w:eastAsia="es-AR"/>
              </w:rPr>
            </w:pPr>
            <w:r w:rsidRPr="008C5C2F">
              <w:rPr>
                <w:lang w:val="es-AR" w:eastAsia="es-AR"/>
              </w:rPr>
              <w:t>3.5.6. Resumen de cuenta.</w:t>
            </w:r>
          </w:p>
          <w:p w:rsidR="00277D0A" w:rsidRPr="008C5C2F" w:rsidRDefault="00277D0A" w:rsidP="009F188C">
            <w:pPr>
              <w:autoSpaceDE w:val="0"/>
              <w:autoSpaceDN w:val="0"/>
              <w:adjustRightInd w:val="0"/>
              <w:jc w:val="both"/>
              <w:rPr>
                <w:lang w:val="es-AR" w:eastAsia="es-AR"/>
              </w:rPr>
            </w:pPr>
            <w:r w:rsidRPr="008C5C2F">
              <w:rPr>
                <w:lang w:val="es-AR" w:eastAsia="es-AR"/>
              </w:rPr>
              <w:t>No resulta obligatoria la emisión periódica de resúmenes con el detalle de los movimientos</w:t>
            </w:r>
            <w:r w:rsidR="008C5C2F">
              <w:rPr>
                <w:lang w:val="es-AR" w:eastAsia="es-AR"/>
              </w:rPr>
              <w:t xml:space="preserve"> </w:t>
            </w:r>
            <w:r w:rsidRPr="008C5C2F">
              <w:rPr>
                <w:lang w:val="es-AR" w:eastAsia="es-AR"/>
              </w:rPr>
              <w:t>registrados en las cuentas.</w:t>
            </w:r>
          </w:p>
          <w:p w:rsidR="00277D0A" w:rsidRPr="008C5C2F" w:rsidRDefault="00277D0A" w:rsidP="009F188C">
            <w:pPr>
              <w:autoSpaceDE w:val="0"/>
              <w:autoSpaceDN w:val="0"/>
              <w:adjustRightInd w:val="0"/>
              <w:jc w:val="both"/>
              <w:rPr>
                <w:lang w:val="es-AR" w:eastAsia="es-AR"/>
              </w:rPr>
            </w:pPr>
            <w:r w:rsidRPr="008C5C2F">
              <w:rPr>
                <w:lang w:val="es-AR" w:eastAsia="es-AR"/>
              </w:rPr>
              <w:t>En su reemplazo el sistema de cajeros automáticos del banco depositario deberá prever</w:t>
            </w:r>
            <w:r w:rsidR="008C5C2F">
              <w:rPr>
                <w:lang w:val="es-AR" w:eastAsia="es-AR"/>
              </w:rPr>
              <w:t xml:space="preserve"> </w:t>
            </w:r>
            <w:r w:rsidRPr="008C5C2F">
              <w:rPr>
                <w:lang w:val="es-AR" w:eastAsia="es-AR"/>
              </w:rPr>
              <w:t>la provisión de un talón en el que figuren el saldo y los últimos diez movimientos operados.</w:t>
            </w:r>
          </w:p>
          <w:p w:rsidR="00277D0A" w:rsidRPr="008C5C2F" w:rsidRDefault="00277D0A" w:rsidP="009F188C">
            <w:pPr>
              <w:autoSpaceDE w:val="0"/>
              <w:autoSpaceDN w:val="0"/>
              <w:adjustRightInd w:val="0"/>
              <w:jc w:val="both"/>
              <w:rPr>
                <w:lang w:val="es-AR" w:eastAsia="es-AR"/>
              </w:rPr>
            </w:pPr>
            <w:r w:rsidRPr="008C5C2F">
              <w:rPr>
                <w:lang w:val="es-AR" w:eastAsia="es-AR"/>
              </w:rPr>
              <w:t>Ello, sin perjuicio de que el beneficiario podrá solicitar personalmente el resumen de</w:t>
            </w:r>
            <w:r w:rsidR="008C5C2F">
              <w:rPr>
                <w:lang w:val="es-AR" w:eastAsia="es-AR"/>
              </w:rPr>
              <w:t xml:space="preserve"> </w:t>
            </w:r>
            <w:r w:rsidRPr="008C5C2F">
              <w:rPr>
                <w:lang w:val="es-AR" w:eastAsia="es-AR"/>
              </w:rPr>
              <w:t>cuenta en la correspondiente sucursal.</w:t>
            </w:r>
          </w:p>
          <w:p w:rsidR="00277D0A" w:rsidRPr="008C5C2F" w:rsidRDefault="00277D0A" w:rsidP="009F188C">
            <w:pPr>
              <w:autoSpaceDE w:val="0"/>
              <w:autoSpaceDN w:val="0"/>
              <w:adjustRightInd w:val="0"/>
              <w:jc w:val="both"/>
              <w:rPr>
                <w:lang w:val="es-AR" w:eastAsia="es-AR"/>
              </w:rPr>
            </w:pPr>
            <w:r w:rsidRPr="008C5C2F">
              <w:rPr>
                <w:lang w:val="es-AR" w:eastAsia="es-AR"/>
              </w:rPr>
              <w:t>Las acreditaciones correspondientes a los conceptos “Programa Nacional de Becas Bicentenario</w:t>
            </w:r>
            <w:r w:rsidR="008C5C2F">
              <w:rPr>
                <w:lang w:val="es-AR" w:eastAsia="es-AR"/>
              </w:rPr>
              <w:t xml:space="preserve"> </w:t>
            </w:r>
            <w:r w:rsidRPr="008C5C2F">
              <w:rPr>
                <w:lang w:val="es-AR" w:eastAsia="es-AR"/>
              </w:rPr>
              <w:t>para Carreras Científicas y Técnicas” –Decreto N° 99/09– y “Programa Hogares</w:t>
            </w:r>
            <w:r w:rsidR="008C5C2F">
              <w:rPr>
                <w:lang w:val="es-AR" w:eastAsia="es-AR"/>
              </w:rPr>
              <w:t xml:space="preserve"> </w:t>
            </w:r>
            <w:r w:rsidRPr="008C5C2F">
              <w:rPr>
                <w:lang w:val="es-AR" w:eastAsia="es-AR"/>
              </w:rPr>
              <w:t>con Garrafas (HOGAR)” –Decreto N° 470/15– deberán consignarse, en los resúmenes</w:t>
            </w:r>
            <w:r w:rsidR="008C5C2F">
              <w:rPr>
                <w:lang w:val="es-AR" w:eastAsia="es-AR"/>
              </w:rPr>
              <w:t xml:space="preserve"> </w:t>
            </w:r>
            <w:r w:rsidRPr="008C5C2F">
              <w:rPr>
                <w:lang w:val="es-AR" w:eastAsia="es-AR"/>
              </w:rPr>
              <w:t>de cuenta (o en los comprobantes de movimientos que se emitan a través de cajeros</w:t>
            </w:r>
            <w:r w:rsidR="008C5C2F">
              <w:rPr>
                <w:lang w:val="es-AR" w:eastAsia="es-AR"/>
              </w:rPr>
              <w:t xml:space="preserve"> </w:t>
            </w:r>
            <w:r w:rsidRPr="008C5C2F">
              <w:rPr>
                <w:lang w:val="es-AR" w:eastAsia="es-AR"/>
              </w:rPr>
              <w:t>automáticos) de los respectivos beneficiarios, con las leyendas “BECA BICENT” y “ANSES</w:t>
            </w:r>
            <w:r w:rsidR="008C5C2F">
              <w:rPr>
                <w:lang w:val="es-AR" w:eastAsia="es-AR"/>
              </w:rPr>
              <w:t xml:space="preserve"> </w:t>
            </w:r>
            <w:r w:rsidRPr="008C5C2F">
              <w:rPr>
                <w:lang w:val="es-AR" w:eastAsia="es-AR"/>
              </w:rPr>
              <w:t>HOGAR”, respectivamente.</w:t>
            </w:r>
          </w:p>
          <w:p w:rsidR="00277D0A" w:rsidRPr="008C5C2F" w:rsidRDefault="00277D0A" w:rsidP="009F188C">
            <w:pPr>
              <w:autoSpaceDE w:val="0"/>
              <w:autoSpaceDN w:val="0"/>
              <w:adjustRightInd w:val="0"/>
              <w:jc w:val="both"/>
              <w:rPr>
                <w:lang w:val="es-AR" w:eastAsia="es-AR"/>
              </w:rPr>
            </w:pPr>
            <w:r w:rsidRPr="008C5C2F">
              <w:rPr>
                <w:lang w:val="es-AR" w:eastAsia="es-AR"/>
              </w:rPr>
              <w:t>Cuando se reciban acreditaciones distintas a las citadas precedentemente, deberán</w:t>
            </w:r>
            <w:r w:rsidR="008C5C2F">
              <w:rPr>
                <w:lang w:val="es-AR" w:eastAsia="es-AR"/>
              </w:rPr>
              <w:t xml:space="preserve"> </w:t>
            </w:r>
            <w:r w:rsidRPr="008C5C2F">
              <w:rPr>
                <w:lang w:val="es-AR" w:eastAsia="es-AR"/>
              </w:rPr>
              <w:t>identificarse mediante la consignación de la leyenda que el agente pagador, en su caso,</w:t>
            </w:r>
            <w:r w:rsidR="008C5C2F">
              <w:rPr>
                <w:lang w:val="es-AR" w:eastAsia="es-AR"/>
              </w:rPr>
              <w:t xml:space="preserve"> </w:t>
            </w:r>
            <w:r w:rsidRPr="008C5C2F">
              <w:rPr>
                <w:lang w:val="es-AR" w:eastAsia="es-AR"/>
              </w:rPr>
              <w:t>les asigne.</w:t>
            </w:r>
          </w:p>
          <w:p w:rsidR="00277D0A" w:rsidRPr="008C5C2F" w:rsidRDefault="00277D0A" w:rsidP="009F188C">
            <w:pPr>
              <w:autoSpaceDE w:val="0"/>
              <w:autoSpaceDN w:val="0"/>
              <w:adjustRightInd w:val="0"/>
              <w:jc w:val="both"/>
              <w:rPr>
                <w:lang w:val="es-AR" w:eastAsia="es-AR"/>
              </w:rPr>
            </w:pPr>
            <w:r w:rsidRPr="008C5C2F">
              <w:rPr>
                <w:lang w:val="es-AR" w:eastAsia="es-AR"/>
              </w:rPr>
              <w:t>3.5.7. Cierre de cuenta.</w:t>
            </w:r>
          </w:p>
          <w:p w:rsidR="00277D0A" w:rsidRPr="008C5C2F" w:rsidRDefault="00277D0A" w:rsidP="009F188C">
            <w:pPr>
              <w:autoSpaceDE w:val="0"/>
              <w:autoSpaceDN w:val="0"/>
              <w:adjustRightInd w:val="0"/>
              <w:jc w:val="both"/>
              <w:rPr>
                <w:lang w:val="es-AR" w:eastAsia="es-AR"/>
              </w:rPr>
            </w:pPr>
            <w:r w:rsidRPr="008C5C2F">
              <w:rPr>
                <w:lang w:val="es-AR" w:eastAsia="es-AR"/>
              </w:rPr>
              <w:t>El cierre de cuentas operará de acuerdo con el procedimiento que la ANSES o el respectivo</w:t>
            </w:r>
            <w:r w:rsidR="008C5C2F">
              <w:rPr>
                <w:lang w:val="es-AR" w:eastAsia="es-AR"/>
              </w:rPr>
              <w:t xml:space="preserve"> </w:t>
            </w:r>
            <w:r w:rsidRPr="008C5C2F">
              <w:rPr>
                <w:lang w:val="es-AR" w:eastAsia="es-AR"/>
              </w:rPr>
              <w:t>ente administrador de los pagos determine.</w:t>
            </w:r>
          </w:p>
          <w:p w:rsidR="00277D0A" w:rsidRPr="008C5C2F" w:rsidRDefault="00277D0A" w:rsidP="009F188C">
            <w:pPr>
              <w:autoSpaceDE w:val="0"/>
              <w:autoSpaceDN w:val="0"/>
              <w:adjustRightInd w:val="0"/>
              <w:jc w:val="both"/>
              <w:rPr>
                <w:lang w:val="es-AR" w:eastAsia="es-AR"/>
              </w:rPr>
            </w:pPr>
            <w:r w:rsidRPr="008C5C2F">
              <w:rPr>
                <w:lang w:val="es-AR" w:eastAsia="es-AR"/>
              </w:rPr>
              <w:t>Para el caso de las simples asociaciones será aplicable para el cierre de las cuentas por</w:t>
            </w:r>
            <w:r w:rsidR="008C5C2F">
              <w:rPr>
                <w:lang w:val="es-AR" w:eastAsia="es-AR"/>
              </w:rPr>
              <w:t xml:space="preserve"> </w:t>
            </w:r>
            <w:r w:rsidRPr="008C5C2F">
              <w:rPr>
                <w:lang w:val="es-AR" w:eastAsia="es-AR"/>
              </w:rPr>
              <w:t>decisión del titular el procedimiento detallado en el punto 4.17.</w:t>
            </w:r>
          </w:p>
          <w:p w:rsidR="00277D0A" w:rsidRPr="008C5C2F" w:rsidRDefault="00277D0A" w:rsidP="009F188C">
            <w:pPr>
              <w:autoSpaceDE w:val="0"/>
              <w:autoSpaceDN w:val="0"/>
              <w:adjustRightInd w:val="0"/>
              <w:jc w:val="both"/>
              <w:rPr>
                <w:lang w:val="es-AR" w:eastAsia="es-AR"/>
              </w:rPr>
            </w:pPr>
            <w:r w:rsidRPr="008C5C2F">
              <w:rPr>
                <w:lang w:val="es-AR" w:eastAsia="es-AR"/>
              </w:rPr>
              <w:t>Sin perjuicio de ello, las entidades financieras depositarias podrán proceder al cierre de</w:t>
            </w:r>
            <w:r w:rsidR="008C5C2F">
              <w:rPr>
                <w:lang w:val="es-AR" w:eastAsia="es-AR"/>
              </w:rPr>
              <w:t xml:space="preserve"> </w:t>
            </w:r>
            <w:r w:rsidRPr="008C5C2F">
              <w:rPr>
                <w:lang w:val="es-AR" w:eastAsia="es-AR"/>
              </w:rPr>
              <w:t>estas cuentas en caso de no haber registrado acreditaciones de los beneficios previstos</w:t>
            </w:r>
            <w:r w:rsidR="008C5C2F">
              <w:rPr>
                <w:lang w:val="es-AR" w:eastAsia="es-AR"/>
              </w:rPr>
              <w:t xml:space="preserve"> </w:t>
            </w:r>
            <w:r w:rsidRPr="008C5C2F">
              <w:rPr>
                <w:lang w:val="es-AR" w:eastAsia="es-AR"/>
              </w:rPr>
              <w:t>en el punto 3.5.3. por un plazo de 730 días corridos.</w:t>
            </w:r>
          </w:p>
          <w:p w:rsidR="007B1CE0" w:rsidRPr="008C5C2F" w:rsidRDefault="00277D0A" w:rsidP="009F188C">
            <w:pPr>
              <w:autoSpaceDE w:val="0"/>
              <w:autoSpaceDN w:val="0"/>
              <w:adjustRightInd w:val="0"/>
              <w:jc w:val="both"/>
              <w:rPr>
                <w:lang w:val="es-AR" w:eastAsia="es-AR"/>
              </w:rPr>
            </w:pPr>
            <w:r w:rsidRPr="008C5C2F">
              <w:rPr>
                <w:lang w:val="es-AR" w:eastAsia="es-AR"/>
              </w:rPr>
              <w:t>Si luego de realizado ese procedimiento existieran fondos remanentes, serán transferidos</w:t>
            </w:r>
            <w:r w:rsidR="008C5C2F">
              <w:rPr>
                <w:lang w:val="es-AR" w:eastAsia="es-AR"/>
              </w:rPr>
              <w:t xml:space="preserve"> </w:t>
            </w:r>
            <w:r w:rsidRPr="008C5C2F">
              <w:rPr>
                <w:lang w:val="es-AR" w:eastAsia="es-AR"/>
              </w:rPr>
              <w:t>a saldos inmovilizados, de acuerdo con lo establecido con carácter general para el tratamiento</w:t>
            </w:r>
            <w:r w:rsidR="008C5C2F">
              <w:rPr>
                <w:lang w:val="es-AR" w:eastAsia="es-AR"/>
              </w:rPr>
              <w:t xml:space="preserve"> </w:t>
            </w:r>
            <w:r w:rsidRPr="008C5C2F">
              <w:rPr>
                <w:lang w:val="es-AR" w:eastAsia="es-AR"/>
              </w:rPr>
              <w:t>de dichos saldos.</w:t>
            </w:r>
          </w:p>
        </w:tc>
      </w:tr>
      <w:tr w:rsidR="007B1CE0" w:rsidRPr="008C5C2F" w:rsidTr="000E3733">
        <w:tc>
          <w:tcPr>
            <w:tcW w:w="10522" w:type="dxa"/>
            <w:gridSpan w:val="7"/>
            <w:tcBorders>
              <w:top w:val="nil"/>
              <w:left w:val="single" w:sz="18" w:space="0" w:color="auto"/>
              <w:bottom w:val="single" w:sz="18" w:space="0" w:color="auto"/>
              <w:right w:val="single" w:sz="18" w:space="0" w:color="auto"/>
            </w:tcBorders>
          </w:tcPr>
          <w:p w:rsidR="007B1CE0" w:rsidRPr="008C5C2F" w:rsidRDefault="007B1CE0" w:rsidP="009F188C">
            <w:pPr>
              <w:tabs>
                <w:tab w:val="left" w:pos="284"/>
              </w:tabs>
              <w:jc w:val="both"/>
            </w:pPr>
          </w:p>
        </w:tc>
      </w:tr>
      <w:tr w:rsidR="007B1CE0" w:rsidRPr="008C5C2F" w:rsidTr="000E3733">
        <w:trPr>
          <w:trHeight w:val="256"/>
        </w:trPr>
        <w:tc>
          <w:tcPr>
            <w:tcW w:w="10522" w:type="dxa"/>
            <w:gridSpan w:val="7"/>
            <w:tcBorders>
              <w:top w:val="single" w:sz="18" w:space="0" w:color="auto"/>
              <w:left w:val="single" w:sz="18" w:space="0" w:color="auto"/>
              <w:bottom w:val="single" w:sz="18" w:space="0" w:color="auto"/>
              <w:right w:val="single" w:sz="18" w:space="0" w:color="auto"/>
            </w:tcBorders>
            <w:shd w:val="pct35" w:color="auto" w:fill="auto"/>
          </w:tcPr>
          <w:p w:rsidR="007B1CE0" w:rsidRPr="008C5C2F" w:rsidRDefault="007B1CE0" w:rsidP="009F188C">
            <w:pPr>
              <w:pStyle w:val="Ttulo1"/>
              <w:spacing w:before="120" w:after="120"/>
              <w:jc w:val="both"/>
            </w:pPr>
            <w:r w:rsidRPr="008C5C2F">
              <w:t xml:space="preserve">CONDICIONES VINCULADAS A LA TARJETA </w:t>
            </w:r>
            <w:r w:rsidR="00277D0A" w:rsidRPr="008C5C2F">
              <w:t>DÉBITO</w:t>
            </w:r>
          </w:p>
        </w:tc>
      </w:tr>
      <w:tr w:rsidR="007B1CE0" w:rsidRPr="008C5C2F" w:rsidTr="000E3733">
        <w:tc>
          <w:tcPr>
            <w:tcW w:w="10522" w:type="dxa"/>
            <w:gridSpan w:val="7"/>
            <w:tcBorders>
              <w:top w:val="single" w:sz="18" w:space="0" w:color="auto"/>
              <w:left w:val="single" w:sz="18" w:space="0" w:color="auto"/>
              <w:bottom w:val="nil"/>
              <w:right w:val="single" w:sz="18" w:space="0" w:color="auto"/>
            </w:tcBorders>
          </w:tcPr>
          <w:p w:rsidR="007B1CE0" w:rsidRPr="008C5C2F" w:rsidRDefault="007B1CE0" w:rsidP="009F188C">
            <w:pPr>
              <w:jc w:val="both"/>
            </w:pPr>
          </w:p>
        </w:tc>
      </w:tr>
      <w:tr w:rsidR="007B1CE0" w:rsidRPr="008C5C2F" w:rsidTr="000E3733">
        <w:tc>
          <w:tcPr>
            <w:tcW w:w="10522" w:type="dxa"/>
            <w:gridSpan w:val="7"/>
            <w:tcBorders>
              <w:top w:val="nil"/>
              <w:left w:val="single" w:sz="18" w:space="0" w:color="auto"/>
              <w:bottom w:val="nil"/>
              <w:right w:val="single" w:sz="18" w:space="0" w:color="auto"/>
            </w:tcBorders>
          </w:tcPr>
          <w:p w:rsidR="007B1CE0" w:rsidRPr="008C5C2F" w:rsidRDefault="007B1CE0" w:rsidP="009F188C">
            <w:pPr>
              <w:pStyle w:val="Sangradetextonormal"/>
              <w:tabs>
                <w:tab w:val="left" w:pos="284"/>
              </w:tabs>
              <w:spacing w:after="0"/>
              <w:ind w:left="284" w:hanging="284"/>
              <w:jc w:val="both"/>
              <w:rPr>
                <w:spacing w:val="-12"/>
              </w:rPr>
            </w:pPr>
            <w:r w:rsidRPr="008C5C2F">
              <w:t>1.</w:t>
            </w:r>
            <w:r w:rsidRPr="008C5C2F">
              <w:tab/>
            </w:r>
            <w:r w:rsidRPr="008C5C2F">
              <w:rPr>
                <w:spacing w:val="-12"/>
              </w:rPr>
              <w:t>Mediante la utilización de la tarjeta se tendrá acceso a los cajeros automáticos de la Red LINK y/o de la que en el futuro se incorpore o la reemplace. Las transacciones básicas admitidas son extracciones y consultas de saldos y de movimientos.</w:t>
            </w:r>
          </w:p>
          <w:p w:rsidR="007B1CE0" w:rsidRPr="008C5C2F" w:rsidRDefault="007B1CE0" w:rsidP="009F188C">
            <w:pPr>
              <w:pStyle w:val="Sangradetextonormal"/>
              <w:tabs>
                <w:tab w:val="left" w:pos="284"/>
              </w:tabs>
              <w:spacing w:after="0"/>
              <w:ind w:left="284" w:hanging="284"/>
              <w:jc w:val="both"/>
            </w:pPr>
            <w:r w:rsidRPr="008C5C2F">
              <w:t>2.</w:t>
            </w:r>
            <w:r w:rsidRPr="008C5C2F">
              <w:tab/>
              <w:t xml:space="preserve">El beneficiario dispondrá de un número confidencial (PIN) que, junto con su tarjeta, le permitirá ejecutar las transacciones habilitadas en los dispositivos electrónicos instalados para ello. Dicho PIN posee características que implican que sea conocido exclusivamente por el beneficiario, en virtud de normas de seguridad del sistema que impiden el acceso al dato </w:t>
            </w:r>
            <w:r w:rsidRPr="008C5C2F">
              <w:lastRenderedPageBreak/>
              <w:t>por parte de otras personas. Por tal motivo, el beneficiario reconoce sin reservas todas y cada una de las operaciones que se hagan por su intermedio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 tarjeta y clave.</w:t>
            </w:r>
          </w:p>
          <w:p w:rsidR="007B1CE0" w:rsidRPr="008C5C2F" w:rsidRDefault="007B1CE0" w:rsidP="009F188C">
            <w:pPr>
              <w:pStyle w:val="Sangradetextonormal"/>
              <w:tabs>
                <w:tab w:val="left" w:pos="284"/>
              </w:tabs>
              <w:spacing w:after="0"/>
              <w:ind w:left="284" w:hanging="284"/>
              <w:jc w:val="both"/>
            </w:pPr>
            <w:r w:rsidRPr="008C5C2F">
              <w:t>3.</w:t>
            </w:r>
            <w:r w:rsidRPr="008C5C2F">
              <w:tab/>
              <w:t>El Banco informa al beneficiario, y éste se notifica por el presente, acerca de los recaudos mínimos a adoptar para la utilización de cajeros automáticos, detallados en esta cláusula:</w:t>
            </w:r>
          </w:p>
          <w:p w:rsidR="007B1CE0" w:rsidRPr="008C5C2F" w:rsidRDefault="007B1CE0" w:rsidP="009F188C">
            <w:pPr>
              <w:pStyle w:val="Textoindependiente"/>
              <w:tabs>
                <w:tab w:val="left" w:pos="284"/>
                <w:tab w:val="left" w:pos="765"/>
              </w:tabs>
              <w:spacing w:after="0"/>
              <w:ind w:left="765" w:hanging="765"/>
              <w:jc w:val="both"/>
            </w:pPr>
            <w:r w:rsidRPr="008C5C2F">
              <w:tab/>
              <w:t>3.1.</w:t>
            </w:r>
            <w:r w:rsidRPr="008C5C2F">
              <w:tab/>
              <w:t>Solicitar al personal asignado para tal fin toda la información que estimen necesaria al momento de acceder por primera vez al servicio o ante cualquier duda que se les presente posteriormente.</w:t>
            </w:r>
          </w:p>
          <w:p w:rsidR="007B1CE0" w:rsidRPr="008C5C2F" w:rsidRDefault="007B1CE0" w:rsidP="009F188C">
            <w:pPr>
              <w:tabs>
                <w:tab w:val="left" w:pos="284"/>
                <w:tab w:val="left" w:pos="800"/>
              </w:tabs>
              <w:ind w:left="800" w:hanging="800"/>
              <w:jc w:val="both"/>
              <w:rPr>
                <w:spacing w:val="-8"/>
              </w:rPr>
            </w:pPr>
            <w:r w:rsidRPr="008C5C2F">
              <w:tab/>
            </w:r>
            <w:r w:rsidRPr="008C5C2F">
              <w:rPr>
                <w:spacing w:val="-8"/>
              </w:rPr>
              <w:t>3.2.</w:t>
            </w:r>
            <w:r w:rsidRPr="008C5C2F">
              <w:rPr>
                <w:spacing w:val="-8"/>
              </w:rPr>
              <w:tab/>
              <w:t>No utilizar los cajeros automáticos cuando se encuentren mensajes o situaciones de operación anormales.</w:t>
            </w:r>
          </w:p>
          <w:p w:rsidR="007B1CE0" w:rsidRPr="008C5C2F" w:rsidRDefault="007B1CE0" w:rsidP="009F188C">
            <w:pPr>
              <w:pStyle w:val="Textoindependiente"/>
              <w:tabs>
                <w:tab w:val="left" w:pos="284"/>
                <w:tab w:val="left" w:pos="780"/>
              </w:tabs>
              <w:spacing w:after="0"/>
              <w:ind w:left="780" w:hanging="780"/>
              <w:jc w:val="both"/>
            </w:pPr>
            <w:r w:rsidRPr="008C5C2F">
              <w:tab/>
              <w:t>3.3.</w:t>
            </w:r>
            <w:r w:rsidRPr="008C5C2F">
              <w:tab/>
              <w:t>Cambiar la clave personal (PIN) asignada por una que él seleccione, la que no debería ser un número que pueda obtenerse fácilmente de documentos que se guarden en el mismo lugar que su tarjeta débito, como por ejemplo, fecha de nacimiento o dirección.</w:t>
            </w:r>
          </w:p>
          <w:p w:rsidR="007B1CE0" w:rsidRPr="008C5C2F" w:rsidRDefault="007B1CE0" w:rsidP="009F188C">
            <w:pPr>
              <w:pStyle w:val="Textoindependiente"/>
              <w:tabs>
                <w:tab w:val="left" w:pos="284"/>
                <w:tab w:val="left" w:pos="810"/>
              </w:tabs>
              <w:spacing w:after="0"/>
              <w:jc w:val="both"/>
            </w:pPr>
            <w:r w:rsidRPr="008C5C2F">
              <w:tab/>
              <w:t>3.4.</w:t>
            </w:r>
            <w:r w:rsidRPr="008C5C2F">
              <w:tab/>
              <w:t>No divulgar el número de su clave ni escribirlo en la tarjeta ni en elementos que se guarden con ella.</w:t>
            </w:r>
          </w:p>
          <w:p w:rsidR="007B1CE0" w:rsidRPr="008C5C2F" w:rsidRDefault="007B1CE0" w:rsidP="009F188C">
            <w:pPr>
              <w:pStyle w:val="Textoindependiente"/>
              <w:tabs>
                <w:tab w:val="left" w:pos="284"/>
                <w:tab w:val="left" w:pos="750"/>
              </w:tabs>
              <w:spacing w:after="0"/>
              <w:ind w:left="750" w:hanging="750"/>
              <w:jc w:val="both"/>
            </w:pPr>
            <w:r w:rsidRPr="008C5C2F">
              <w:tab/>
              <w:t>3.5.</w:t>
            </w:r>
            <w:r w:rsidRPr="008C5C2F">
              <w:tab/>
              <w:t>No digitar la clave personal (PIN) en presencia de personas ajenas, aún cuando pretendan ayudarlo, ni facilitar la tarjeta magnética a terceros, ya que ella es de uso personal.</w:t>
            </w:r>
          </w:p>
          <w:p w:rsidR="007B1CE0" w:rsidRPr="008C5C2F" w:rsidRDefault="007B1CE0" w:rsidP="009F188C">
            <w:pPr>
              <w:pStyle w:val="Textoindependiente"/>
              <w:tabs>
                <w:tab w:val="left" w:pos="284"/>
                <w:tab w:val="left" w:pos="810"/>
              </w:tabs>
              <w:spacing w:after="0"/>
              <w:jc w:val="both"/>
            </w:pPr>
            <w:r w:rsidRPr="008C5C2F">
              <w:tab/>
              <w:t>3.6.</w:t>
            </w:r>
            <w:r w:rsidRPr="008C5C2F">
              <w:tab/>
              <w:t>Guardar la tarjeta débito en un lugar seguro y verificar periódicamente su existencia.</w:t>
            </w:r>
          </w:p>
          <w:p w:rsidR="007B1CE0" w:rsidRPr="008C5C2F" w:rsidRDefault="007B1CE0" w:rsidP="009F188C">
            <w:pPr>
              <w:pStyle w:val="Textoindependiente"/>
              <w:numPr>
                <w:ilvl w:val="1"/>
                <w:numId w:val="3"/>
              </w:numPr>
              <w:tabs>
                <w:tab w:val="left" w:pos="284"/>
              </w:tabs>
              <w:spacing w:after="0"/>
              <w:jc w:val="both"/>
            </w:pPr>
            <w:r w:rsidRPr="008C5C2F">
              <w:t>No olvidar el retiro de la tarjeta magnética al finalizar las operaciones.</w:t>
            </w:r>
          </w:p>
          <w:p w:rsidR="007B1CE0" w:rsidRPr="008C5C2F" w:rsidRDefault="007B1CE0" w:rsidP="009F188C">
            <w:pPr>
              <w:pStyle w:val="Textoindependiente"/>
              <w:numPr>
                <w:ilvl w:val="1"/>
                <w:numId w:val="3"/>
              </w:numPr>
              <w:tabs>
                <w:tab w:val="left" w:pos="284"/>
              </w:tabs>
              <w:spacing w:after="0"/>
              <w:jc w:val="both"/>
            </w:pPr>
            <w:r w:rsidRPr="008C5C2F">
              <w:t>Comunicar inmediatamente al número telefónico del Organismo que figura al dorso de la Tarjeta Magnética cuando:</w:t>
            </w:r>
          </w:p>
        </w:tc>
      </w:tr>
      <w:tr w:rsidR="007B1CE0" w:rsidRPr="008C5C2F" w:rsidTr="000E3733">
        <w:tc>
          <w:tcPr>
            <w:tcW w:w="10522" w:type="dxa"/>
            <w:gridSpan w:val="7"/>
            <w:tcBorders>
              <w:top w:val="nil"/>
              <w:left w:val="single" w:sz="18" w:space="0" w:color="auto"/>
              <w:bottom w:val="nil"/>
              <w:right w:val="single" w:sz="18" w:space="0" w:color="auto"/>
            </w:tcBorders>
          </w:tcPr>
          <w:p w:rsidR="007B1CE0" w:rsidRPr="008C5C2F" w:rsidRDefault="007B1CE0" w:rsidP="009F188C">
            <w:pPr>
              <w:tabs>
                <w:tab w:val="left" w:pos="300"/>
                <w:tab w:val="left" w:pos="800"/>
                <w:tab w:val="left" w:pos="1005"/>
              </w:tabs>
              <w:ind w:left="800" w:hanging="800"/>
              <w:jc w:val="both"/>
              <w:rPr>
                <w:spacing w:val="-10"/>
              </w:rPr>
            </w:pPr>
            <w:r w:rsidRPr="008C5C2F">
              <w:lastRenderedPageBreak/>
              <w:tab/>
            </w:r>
            <w:r w:rsidR="00F40931" w:rsidRPr="008C5C2F">
              <w:tab/>
            </w:r>
            <w:r w:rsidRPr="008C5C2F">
              <w:rPr>
                <w:spacing w:val="-10"/>
              </w:rPr>
              <w:t xml:space="preserve">- en las extracciones, existieren diferencias entre el ticket emitido por el cajero y el importe efectivamente retirado, </w:t>
            </w:r>
          </w:p>
          <w:p w:rsidR="007B1CE0" w:rsidRPr="008C5C2F" w:rsidRDefault="007B1CE0" w:rsidP="009F188C">
            <w:pPr>
              <w:tabs>
                <w:tab w:val="left" w:pos="300"/>
                <w:tab w:val="left" w:pos="800"/>
                <w:tab w:val="left" w:pos="1000"/>
              </w:tabs>
              <w:ind w:left="800" w:hanging="800"/>
              <w:jc w:val="both"/>
            </w:pPr>
            <w:r w:rsidRPr="008C5C2F">
              <w:tab/>
            </w:r>
            <w:r w:rsidR="00F40931" w:rsidRPr="008C5C2F">
              <w:tab/>
            </w:r>
            <w:r w:rsidRPr="008C5C2F">
              <w:t>- existiese retención de su tarjeta por el cajero ó si el cajero no emite el/los comprobante/s correspondiente/s</w:t>
            </w:r>
          </w:p>
          <w:p w:rsidR="007B1CE0" w:rsidRPr="008C5C2F" w:rsidRDefault="007B1CE0" w:rsidP="009F188C">
            <w:pPr>
              <w:tabs>
                <w:tab w:val="left" w:pos="300"/>
                <w:tab w:val="left" w:pos="800"/>
                <w:tab w:val="left" w:pos="1000"/>
              </w:tabs>
              <w:ind w:hanging="1000"/>
              <w:jc w:val="both"/>
            </w:pPr>
            <w:r w:rsidRPr="008C5C2F">
              <w:tab/>
            </w:r>
            <w:r w:rsidR="00F40931" w:rsidRPr="008C5C2F">
              <w:tab/>
            </w:r>
            <w:r w:rsidR="00F40931" w:rsidRPr="008C5C2F">
              <w:tab/>
            </w:r>
            <w:r w:rsidRPr="008C5C2F">
              <w:t>- por pérdida, robo o desmagnetización de la tarjeta magnética</w:t>
            </w:r>
          </w:p>
        </w:tc>
      </w:tr>
      <w:tr w:rsidR="007B1CE0" w:rsidRPr="008C5C2F" w:rsidTr="000E3733">
        <w:tc>
          <w:tcPr>
            <w:tcW w:w="10522" w:type="dxa"/>
            <w:gridSpan w:val="7"/>
            <w:tcBorders>
              <w:top w:val="nil"/>
              <w:left w:val="single" w:sz="18" w:space="0" w:color="auto"/>
              <w:bottom w:val="single" w:sz="12" w:space="0" w:color="auto"/>
              <w:right w:val="single" w:sz="18" w:space="0" w:color="auto"/>
            </w:tcBorders>
          </w:tcPr>
          <w:p w:rsidR="007B1CE0" w:rsidRPr="008C5C2F" w:rsidRDefault="007B1CE0" w:rsidP="009F188C">
            <w:pPr>
              <w:tabs>
                <w:tab w:val="left" w:pos="300"/>
                <w:tab w:val="left" w:pos="1100"/>
              </w:tabs>
              <w:ind w:left="300" w:hanging="300"/>
              <w:jc w:val="both"/>
              <w:rPr>
                <w:spacing w:val="-4"/>
              </w:rPr>
            </w:pPr>
            <w:r w:rsidRPr="008C5C2F">
              <w:t>4.</w:t>
            </w:r>
            <w:r w:rsidRPr="008C5C2F">
              <w:tab/>
            </w:r>
            <w:r w:rsidRPr="008C5C2F">
              <w:rPr>
                <w:spacing w:val="-4"/>
              </w:rPr>
              <w:t>El cajero automático tomará en firme las extracciones emitiendo un comprobante de la transacción realizada.</w:t>
            </w:r>
          </w:p>
          <w:p w:rsidR="007B1CE0" w:rsidRPr="008C5C2F" w:rsidRDefault="007B1CE0" w:rsidP="009F188C">
            <w:pPr>
              <w:pStyle w:val="Sangradetextonormal"/>
              <w:tabs>
                <w:tab w:val="left" w:pos="284"/>
              </w:tabs>
              <w:spacing w:after="0"/>
              <w:ind w:left="284" w:hanging="284"/>
              <w:jc w:val="both"/>
              <w:rPr>
                <w:spacing w:val="-10"/>
              </w:rPr>
            </w:pPr>
            <w:r w:rsidRPr="008C5C2F">
              <w:t>5.</w:t>
            </w:r>
            <w:r w:rsidRPr="008C5C2F">
              <w:tab/>
            </w:r>
            <w:r w:rsidRPr="008C5C2F">
              <w:rPr>
                <w:spacing w:val="-10"/>
              </w:rPr>
              <w:t xml:space="preserve">El beneficiario se compromete a no efectuar retiros superiores al monto asignado de su beneficio o el saldo que registre. </w:t>
            </w:r>
          </w:p>
          <w:p w:rsidR="007B1CE0" w:rsidRPr="008C5C2F" w:rsidRDefault="007B1CE0" w:rsidP="009F188C">
            <w:pPr>
              <w:pStyle w:val="Sangradetextonormal"/>
              <w:tabs>
                <w:tab w:val="left" w:pos="284"/>
              </w:tabs>
              <w:spacing w:after="0"/>
              <w:ind w:left="284" w:hanging="284"/>
              <w:jc w:val="both"/>
            </w:pPr>
            <w:r w:rsidRPr="008C5C2F">
              <w:t>6.</w:t>
            </w:r>
            <w:r w:rsidRPr="008C5C2F">
              <w:tab/>
              <w:t>A todos los efectos legales, el beneficiario constituye domicilio según consta en las presentes condiciones; asimismo, se someten a la jurisdicción de los Tribunales Federales citados en aquél.</w:t>
            </w:r>
          </w:p>
          <w:p w:rsidR="007B1CE0" w:rsidRPr="008C5C2F" w:rsidRDefault="007B1CE0" w:rsidP="009F188C">
            <w:pPr>
              <w:pStyle w:val="Sangradetextonormal"/>
              <w:tabs>
                <w:tab w:val="left" w:pos="284"/>
                <w:tab w:val="left" w:pos="675"/>
              </w:tabs>
              <w:spacing w:after="0"/>
              <w:ind w:left="284" w:hanging="284"/>
              <w:jc w:val="both"/>
            </w:pPr>
            <w:r w:rsidRPr="008C5C2F">
              <w:t>7.</w:t>
            </w:r>
            <w:r w:rsidRPr="008C5C2F">
              <w:tab/>
              <w:t>El Banco no asume responsabilidad alguna en caso que el beneficiario se vea imposibilitado para efectuar operaciones por intermedio de los dispositivos electrónicos instalados para su uso por otros Bancos de la Red Link o Redes asociadas.</w:t>
            </w:r>
          </w:p>
          <w:p w:rsidR="007B1CE0" w:rsidRPr="008C5C2F" w:rsidRDefault="007B1CE0" w:rsidP="009F188C">
            <w:pPr>
              <w:pStyle w:val="Sangradetextonormal"/>
              <w:numPr>
                <w:ilvl w:val="0"/>
                <w:numId w:val="4"/>
              </w:numPr>
              <w:tabs>
                <w:tab w:val="clear" w:pos="720"/>
                <w:tab w:val="num" w:pos="300"/>
              </w:tabs>
              <w:spacing w:after="0"/>
              <w:ind w:left="300" w:hanging="300"/>
              <w:jc w:val="both"/>
            </w:pPr>
            <w:r w:rsidRPr="008C5C2F">
              <w:t>No obstante el compromiso del punto 5., si al actualizar el saldo no hubiere fondos suficientes para aplicar una operación efectuada, se afectarán los futuros créditos a la cancelación de la deuda.</w:t>
            </w:r>
          </w:p>
          <w:p w:rsidR="007B1CE0" w:rsidRPr="008C5C2F" w:rsidRDefault="007B1CE0" w:rsidP="009F188C">
            <w:pPr>
              <w:pStyle w:val="Sangradetextonormal"/>
              <w:numPr>
                <w:ilvl w:val="0"/>
                <w:numId w:val="4"/>
              </w:numPr>
              <w:tabs>
                <w:tab w:val="clear" w:pos="720"/>
                <w:tab w:val="num" w:pos="300"/>
              </w:tabs>
              <w:spacing w:after="0"/>
              <w:ind w:left="300" w:hanging="300"/>
              <w:jc w:val="both"/>
            </w:pPr>
            <w:r w:rsidRPr="008C5C2F">
              <w:t>En el domicilio declarado por el beneficiario al momento de la entrega de la tarjeta de débito se tendrán por válidas cuantas notificaciones judiciales o extrajudiciales deban o puedan cursársele. Asimismo, el beneficiario se compromete a dar aviso al Banco por escrito de cualquier cambio del mismo. Se somete a la jurisdicción de los Tribunales Federales de la sucursal de radicación de la cuenta, renunciando a todo otro fuero o jurisdicción que pudiera corresponder.</w:t>
            </w:r>
          </w:p>
          <w:p w:rsidR="007B1CE0" w:rsidRPr="008C5C2F" w:rsidRDefault="007B1CE0" w:rsidP="009F188C">
            <w:pPr>
              <w:jc w:val="both"/>
            </w:pPr>
          </w:p>
        </w:tc>
      </w:tr>
      <w:tr w:rsidR="00870D77" w:rsidRPr="008C5C2F" w:rsidTr="000E3733">
        <w:tc>
          <w:tcPr>
            <w:tcW w:w="4622" w:type="dxa"/>
            <w:gridSpan w:val="5"/>
            <w:tcBorders>
              <w:top w:val="single" w:sz="12" w:space="0" w:color="auto"/>
              <w:left w:val="single" w:sz="18" w:space="0" w:color="auto"/>
              <w:bottom w:val="nil"/>
              <w:right w:val="nil"/>
            </w:tcBorders>
          </w:tcPr>
          <w:p w:rsidR="00870D77" w:rsidRPr="008C5C2F" w:rsidRDefault="00870D77" w:rsidP="009F188C">
            <w:pPr>
              <w:tabs>
                <w:tab w:val="left" w:pos="300"/>
                <w:tab w:val="left" w:pos="1100"/>
              </w:tabs>
              <w:ind w:left="300" w:hanging="300"/>
              <w:jc w:val="both"/>
            </w:pPr>
            <w:r w:rsidRPr="008C5C2F">
              <w:t>Apellido y Nombres del Titular/Beneficiario:</w:t>
            </w:r>
          </w:p>
        </w:tc>
        <w:tc>
          <w:tcPr>
            <w:tcW w:w="5900" w:type="dxa"/>
            <w:gridSpan w:val="2"/>
            <w:tcBorders>
              <w:top w:val="single" w:sz="12" w:space="0" w:color="auto"/>
              <w:left w:val="nil"/>
              <w:bottom w:val="single" w:sz="4" w:space="0" w:color="auto"/>
              <w:right w:val="single" w:sz="18" w:space="0" w:color="auto"/>
            </w:tcBorders>
          </w:tcPr>
          <w:p w:rsidR="00870D77" w:rsidRPr="008C5C2F" w:rsidRDefault="00870D77" w:rsidP="009F188C">
            <w:pPr>
              <w:tabs>
                <w:tab w:val="left" w:pos="300"/>
                <w:tab w:val="left" w:pos="1100"/>
              </w:tabs>
              <w:ind w:left="300" w:hanging="300"/>
              <w:jc w:val="both"/>
            </w:pPr>
            <w:r w:rsidRPr="008C5C2F">
              <w:fldChar w:fldCharType="begin">
                <w:ffData>
                  <w:name w:val="Texto16"/>
                  <w:enabled/>
                  <w:calcOnExit w:val="0"/>
                  <w:textInput/>
                </w:ffData>
              </w:fldChar>
            </w:r>
            <w:bookmarkStart w:id="2" w:name="Texto16"/>
            <w:r w:rsidRPr="008C5C2F">
              <w:instrText xml:space="preserve"> FORMTEXT </w:instrText>
            </w:r>
            <w:r w:rsidRPr="008C5C2F">
              <w:fldChar w:fldCharType="separate"/>
            </w:r>
            <w:r w:rsidR="00355047" w:rsidRPr="008C5C2F">
              <w:rPr>
                <w:noProof/>
              </w:rPr>
              <w:t> </w:t>
            </w:r>
            <w:r w:rsidR="00355047" w:rsidRPr="008C5C2F">
              <w:rPr>
                <w:noProof/>
              </w:rPr>
              <w:t> </w:t>
            </w:r>
            <w:r w:rsidR="00355047" w:rsidRPr="008C5C2F">
              <w:rPr>
                <w:noProof/>
              </w:rPr>
              <w:t> </w:t>
            </w:r>
            <w:r w:rsidR="00355047" w:rsidRPr="008C5C2F">
              <w:rPr>
                <w:noProof/>
              </w:rPr>
              <w:t> </w:t>
            </w:r>
            <w:r w:rsidR="00355047" w:rsidRPr="008C5C2F">
              <w:rPr>
                <w:noProof/>
              </w:rPr>
              <w:t> </w:t>
            </w:r>
            <w:r w:rsidRPr="008C5C2F">
              <w:fldChar w:fldCharType="end"/>
            </w:r>
            <w:bookmarkEnd w:id="2"/>
          </w:p>
        </w:tc>
      </w:tr>
      <w:tr w:rsidR="00870D77" w:rsidRPr="008C5C2F" w:rsidTr="000E3733">
        <w:tc>
          <w:tcPr>
            <w:tcW w:w="10522" w:type="dxa"/>
            <w:gridSpan w:val="7"/>
            <w:tcBorders>
              <w:top w:val="nil"/>
              <w:left w:val="single" w:sz="18" w:space="0" w:color="auto"/>
              <w:bottom w:val="nil"/>
              <w:right w:val="single" w:sz="18" w:space="0" w:color="auto"/>
            </w:tcBorders>
          </w:tcPr>
          <w:p w:rsidR="00870D77" w:rsidRPr="008C5C2F" w:rsidRDefault="00870D77" w:rsidP="009F188C">
            <w:pPr>
              <w:tabs>
                <w:tab w:val="left" w:pos="300"/>
                <w:tab w:val="left" w:pos="1100"/>
              </w:tabs>
              <w:ind w:left="300" w:hanging="300"/>
              <w:jc w:val="both"/>
            </w:pPr>
          </w:p>
        </w:tc>
      </w:tr>
      <w:tr w:rsidR="00870D77" w:rsidRPr="008C5C2F" w:rsidTr="000E3733">
        <w:tc>
          <w:tcPr>
            <w:tcW w:w="3522" w:type="dxa"/>
            <w:gridSpan w:val="4"/>
            <w:tcBorders>
              <w:top w:val="nil"/>
              <w:left w:val="single" w:sz="18" w:space="0" w:color="auto"/>
              <w:bottom w:val="nil"/>
              <w:right w:val="nil"/>
            </w:tcBorders>
          </w:tcPr>
          <w:p w:rsidR="00870D77" w:rsidRPr="008C5C2F" w:rsidRDefault="00870D77" w:rsidP="009F188C">
            <w:pPr>
              <w:tabs>
                <w:tab w:val="left" w:pos="300"/>
                <w:tab w:val="left" w:pos="1100"/>
              </w:tabs>
              <w:ind w:left="300" w:hanging="300"/>
              <w:jc w:val="both"/>
            </w:pPr>
            <w:r w:rsidRPr="008C5C2F">
              <w:t>Tipo y Número de Documento</w:t>
            </w:r>
            <w:r w:rsidR="00701523" w:rsidRPr="008C5C2F">
              <w:t>:</w:t>
            </w:r>
          </w:p>
        </w:tc>
        <w:tc>
          <w:tcPr>
            <w:tcW w:w="7000" w:type="dxa"/>
            <w:gridSpan w:val="3"/>
            <w:tcBorders>
              <w:top w:val="nil"/>
              <w:left w:val="nil"/>
              <w:bottom w:val="single" w:sz="4" w:space="0" w:color="auto"/>
              <w:right w:val="single" w:sz="18" w:space="0" w:color="auto"/>
            </w:tcBorders>
          </w:tcPr>
          <w:p w:rsidR="00870D77" w:rsidRPr="008C5C2F" w:rsidRDefault="00870D77" w:rsidP="009F188C">
            <w:pPr>
              <w:tabs>
                <w:tab w:val="left" w:pos="300"/>
                <w:tab w:val="left" w:pos="1100"/>
              </w:tabs>
              <w:ind w:left="300" w:hanging="300"/>
              <w:jc w:val="both"/>
            </w:pPr>
            <w:r w:rsidRPr="008C5C2F">
              <w:fldChar w:fldCharType="begin">
                <w:ffData>
                  <w:name w:val="Texto17"/>
                  <w:enabled/>
                  <w:calcOnExit w:val="0"/>
                  <w:textInput/>
                </w:ffData>
              </w:fldChar>
            </w:r>
            <w:bookmarkStart w:id="3" w:name="Texto17"/>
            <w:r w:rsidRPr="008C5C2F">
              <w:instrText xml:space="preserve"> FORMTEXT </w:instrText>
            </w:r>
            <w:r w:rsidRPr="008C5C2F">
              <w:fldChar w:fldCharType="separate"/>
            </w:r>
            <w:r w:rsidR="00355047" w:rsidRPr="008C5C2F">
              <w:rPr>
                <w:noProof/>
              </w:rPr>
              <w:t> </w:t>
            </w:r>
            <w:r w:rsidR="00355047" w:rsidRPr="008C5C2F">
              <w:rPr>
                <w:noProof/>
              </w:rPr>
              <w:t> </w:t>
            </w:r>
            <w:r w:rsidR="00355047" w:rsidRPr="008C5C2F">
              <w:rPr>
                <w:noProof/>
              </w:rPr>
              <w:t> </w:t>
            </w:r>
            <w:r w:rsidR="00355047" w:rsidRPr="008C5C2F">
              <w:rPr>
                <w:noProof/>
              </w:rPr>
              <w:t> </w:t>
            </w:r>
            <w:r w:rsidR="00355047" w:rsidRPr="008C5C2F">
              <w:rPr>
                <w:noProof/>
              </w:rPr>
              <w:t> </w:t>
            </w:r>
            <w:r w:rsidRPr="008C5C2F">
              <w:fldChar w:fldCharType="end"/>
            </w:r>
            <w:bookmarkEnd w:id="3"/>
          </w:p>
        </w:tc>
      </w:tr>
      <w:tr w:rsidR="00870D77" w:rsidRPr="008C5C2F" w:rsidTr="000E3733">
        <w:tc>
          <w:tcPr>
            <w:tcW w:w="10522" w:type="dxa"/>
            <w:gridSpan w:val="7"/>
            <w:tcBorders>
              <w:top w:val="nil"/>
              <w:left w:val="single" w:sz="18" w:space="0" w:color="auto"/>
              <w:bottom w:val="nil"/>
              <w:right w:val="single" w:sz="18" w:space="0" w:color="auto"/>
            </w:tcBorders>
          </w:tcPr>
          <w:p w:rsidR="00870D77" w:rsidRPr="008C5C2F" w:rsidRDefault="00870D77" w:rsidP="009F188C">
            <w:pPr>
              <w:tabs>
                <w:tab w:val="left" w:pos="300"/>
                <w:tab w:val="left" w:pos="1100"/>
              </w:tabs>
              <w:ind w:left="300" w:hanging="300"/>
              <w:jc w:val="both"/>
            </w:pPr>
          </w:p>
        </w:tc>
      </w:tr>
      <w:tr w:rsidR="00870D77" w:rsidRPr="008C5C2F" w:rsidTr="009F188C">
        <w:tc>
          <w:tcPr>
            <w:tcW w:w="1722" w:type="dxa"/>
            <w:tcBorders>
              <w:top w:val="nil"/>
              <w:left w:val="single" w:sz="18" w:space="0" w:color="auto"/>
              <w:bottom w:val="nil"/>
              <w:right w:val="nil"/>
            </w:tcBorders>
          </w:tcPr>
          <w:p w:rsidR="00870D77" w:rsidRPr="008C5C2F" w:rsidRDefault="00870D77" w:rsidP="009F188C">
            <w:pPr>
              <w:tabs>
                <w:tab w:val="left" w:pos="300"/>
                <w:tab w:val="left" w:pos="1100"/>
              </w:tabs>
              <w:ind w:left="300" w:hanging="300"/>
              <w:jc w:val="both"/>
            </w:pPr>
            <w:r w:rsidRPr="008C5C2F">
              <w:t>Domicilio:</w:t>
            </w:r>
          </w:p>
        </w:tc>
        <w:tc>
          <w:tcPr>
            <w:tcW w:w="8800" w:type="dxa"/>
            <w:gridSpan w:val="6"/>
            <w:tcBorders>
              <w:top w:val="nil"/>
              <w:left w:val="nil"/>
              <w:bottom w:val="single" w:sz="4" w:space="0" w:color="auto"/>
              <w:right w:val="single" w:sz="18" w:space="0" w:color="auto"/>
            </w:tcBorders>
          </w:tcPr>
          <w:p w:rsidR="00870D77" w:rsidRPr="008C5C2F" w:rsidRDefault="00870D77" w:rsidP="009F188C">
            <w:pPr>
              <w:tabs>
                <w:tab w:val="left" w:pos="300"/>
                <w:tab w:val="left" w:pos="1100"/>
              </w:tabs>
              <w:ind w:left="300" w:hanging="300"/>
              <w:jc w:val="both"/>
            </w:pPr>
            <w:r w:rsidRPr="008C5C2F">
              <w:fldChar w:fldCharType="begin">
                <w:ffData>
                  <w:name w:val="Texto18"/>
                  <w:enabled/>
                  <w:calcOnExit w:val="0"/>
                  <w:textInput/>
                </w:ffData>
              </w:fldChar>
            </w:r>
            <w:bookmarkStart w:id="4" w:name="Texto18"/>
            <w:r w:rsidRPr="008C5C2F">
              <w:instrText xml:space="preserve"> FORMTEXT </w:instrText>
            </w:r>
            <w:r w:rsidRPr="008C5C2F">
              <w:fldChar w:fldCharType="separate"/>
            </w:r>
            <w:r w:rsidR="00355047" w:rsidRPr="008C5C2F">
              <w:rPr>
                <w:noProof/>
              </w:rPr>
              <w:t> </w:t>
            </w:r>
            <w:r w:rsidR="00355047" w:rsidRPr="008C5C2F">
              <w:rPr>
                <w:noProof/>
              </w:rPr>
              <w:t> </w:t>
            </w:r>
            <w:r w:rsidR="00355047" w:rsidRPr="008C5C2F">
              <w:rPr>
                <w:noProof/>
              </w:rPr>
              <w:t> </w:t>
            </w:r>
            <w:r w:rsidR="00355047" w:rsidRPr="008C5C2F">
              <w:rPr>
                <w:noProof/>
              </w:rPr>
              <w:t> </w:t>
            </w:r>
            <w:r w:rsidR="00355047" w:rsidRPr="008C5C2F">
              <w:rPr>
                <w:noProof/>
              </w:rPr>
              <w:t> </w:t>
            </w:r>
            <w:r w:rsidRPr="008C5C2F">
              <w:fldChar w:fldCharType="end"/>
            </w:r>
            <w:bookmarkEnd w:id="4"/>
          </w:p>
        </w:tc>
      </w:tr>
      <w:tr w:rsidR="009F188C" w:rsidRPr="008C5C2F" w:rsidTr="009F188C">
        <w:trPr>
          <w:trHeight w:val="104"/>
        </w:trPr>
        <w:tc>
          <w:tcPr>
            <w:tcW w:w="1722" w:type="dxa"/>
            <w:tcBorders>
              <w:top w:val="nil"/>
              <w:left w:val="single" w:sz="18" w:space="0" w:color="auto"/>
              <w:bottom w:val="nil"/>
              <w:right w:val="nil"/>
            </w:tcBorders>
          </w:tcPr>
          <w:p w:rsidR="009F188C" w:rsidRPr="008C5C2F" w:rsidRDefault="009F188C" w:rsidP="009F188C">
            <w:pPr>
              <w:tabs>
                <w:tab w:val="left" w:pos="300"/>
                <w:tab w:val="left" w:pos="1100"/>
              </w:tabs>
              <w:ind w:left="300" w:hanging="300"/>
              <w:jc w:val="both"/>
            </w:pPr>
          </w:p>
        </w:tc>
        <w:tc>
          <w:tcPr>
            <w:tcW w:w="8800" w:type="dxa"/>
            <w:gridSpan w:val="6"/>
            <w:tcBorders>
              <w:top w:val="single" w:sz="4" w:space="0" w:color="auto"/>
              <w:left w:val="nil"/>
              <w:bottom w:val="nil"/>
              <w:right w:val="single" w:sz="18" w:space="0" w:color="auto"/>
            </w:tcBorders>
          </w:tcPr>
          <w:p w:rsidR="009F188C" w:rsidRPr="008C5C2F" w:rsidRDefault="009F188C" w:rsidP="009F188C">
            <w:pPr>
              <w:tabs>
                <w:tab w:val="left" w:pos="300"/>
                <w:tab w:val="left" w:pos="1100"/>
              </w:tabs>
              <w:ind w:left="300" w:hanging="300"/>
              <w:jc w:val="both"/>
            </w:pPr>
          </w:p>
        </w:tc>
      </w:tr>
      <w:tr w:rsidR="000E3733" w:rsidRPr="008C5C2F" w:rsidTr="000E3733">
        <w:tc>
          <w:tcPr>
            <w:tcW w:w="1823" w:type="dxa"/>
            <w:gridSpan w:val="2"/>
            <w:tcBorders>
              <w:top w:val="nil"/>
              <w:left w:val="single" w:sz="18" w:space="0" w:color="auto"/>
              <w:bottom w:val="nil"/>
              <w:right w:val="nil"/>
            </w:tcBorders>
          </w:tcPr>
          <w:p w:rsidR="000E3733" w:rsidRPr="008C5C2F" w:rsidRDefault="000E3733" w:rsidP="009F188C">
            <w:pPr>
              <w:tabs>
                <w:tab w:val="left" w:pos="300"/>
                <w:tab w:val="left" w:pos="1100"/>
              </w:tabs>
              <w:ind w:left="300" w:hanging="300"/>
              <w:jc w:val="both"/>
            </w:pPr>
            <w:r w:rsidRPr="008C5C2F">
              <w:t>Tarjeta Débito N°</w:t>
            </w:r>
          </w:p>
        </w:tc>
        <w:tc>
          <w:tcPr>
            <w:tcW w:w="8699" w:type="dxa"/>
            <w:gridSpan w:val="5"/>
            <w:tcBorders>
              <w:top w:val="nil"/>
              <w:left w:val="nil"/>
              <w:bottom w:val="single" w:sz="4" w:space="0" w:color="auto"/>
              <w:right w:val="single" w:sz="18" w:space="0" w:color="auto"/>
            </w:tcBorders>
          </w:tcPr>
          <w:p w:rsidR="000E3733" w:rsidRPr="008C5C2F" w:rsidRDefault="000E3733" w:rsidP="009F188C">
            <w:pPr>
              <w:tabs>
                <w:tab w:val="left" w:pos="300"/>
                <w:tab w:val="left" w:pos="1100"/>
              </w:tabs>
              <w:ind w:left="300" w:hanging="300"/>
              <w:jc w:val="both"/>
            </w:pPr>
            <w:r w:rsidRPr="008C5C2F">
              <w:fldChar w:fldCharType="begin">
                <w:ffData>
                  <w:name w:val=""/>
                  <w:enabled/>
                  <w:calcOnExit w:val="0"/>
                  <w:textInput/>
                </w:ffData>
              </w:fldChar>
            </w:r>
            <w:r w:rsidRPr="008C5C2F">
              <w:instrText xml:space="preserve"> FORMTEXT </w:instrText>
            </w:r>
            <w:r w:rsidRPr="008C5C2F">
              <w:fldChar w:fldCharType="separate"/>
            </w:r>
            <w:r w:rsidRPr="008C5C2F">
              <w:rPr>
                <w:noProof/>
              </w:rPr>
              <w:t> </w:t>
            </w:r>
            <w:r w:rsidRPr="008C5C2F">
              <w:rPr>
                <w:noProof/>
              </w:rPr>
              <w:t> </w:t>
            </w:r>
            <w:r w:rsidRPr="008C5C2F">
              <w:rPr>
                <w:noProof/>
              </w:rPr>
              <w:t> </w:t>
            </w:r>
            <w:r w:rsidRPr="008C5C2F">
              <w:rPr>
                <w:noProof/>
              </w:rPr>
              <w:t> </w:t>
            </w:r>
            <w:r w:rsidRPr="008C5C2F">
              <w:rPr>
                <w:noProof/>
              </w:rPr>
              <w:t> </w:t>
            </w:r>
            <w:r w:rsidRPr="008C5C2F">
              <w:fldChar w:fldCharType="end"/>
            </w:r>
          </w:p>
        </w:tc>
      </w:tr>
      <w:tr w:rsidR="00870D77" w:rsidRPr="008C5C2F" w:rsidTr="000E3733">
        <w:tc>
          <w:tcPr>
            <w:tcW w:w="10522" w:type="dxa"/>
            <w:gridSpan w:val="7"/>
            <w:tcBorders>
              <w:top w:val="nil"/>
              <w:left w:val="single" w:sz="18" w:space="0" w:color="auto"/>
              <w:bottom w:val="single" w:sz="12" w:space="0" w:color="auto"/>
              <w:right w:val="single" w:sz="18" w:space="0" w:color="auto"/>
            </w:tcBorders>
          </w:tcPr>
          <w:p w:rsidR="00870D77" w:rsidRPr="008C5C2F" w:rsidRDefault="00870D77" w:rsidP="009F188C">
            <w:pPr>
              <w:tabs>
                <w:tab w:val="left" w:pos="300"/>
                <w:tab w:val="left" w:pos="1100"/>
              </w:tabs>
              <w:ind w:left="300" w:hanging="300"/>
              <w:jc w:val="both"/>
            </w:pPr>
          </w:p>
        </w:tc>
      </w:tr>
    </w:tbl>
    <w:p w:rsidR="00870D77" w:rsidRPr="008C5C2F" w:rsidRDefault="00870D77" w:rsidP="009F188C">
      <w:pPr>
        <w:jc w:val="both"/>
      </w:pPr>
    </w:p>
    <w:p w:rsidR="00870D77" w:rsidRPr="008C5C2F" w:rsidRDefault="00870D77" w:rsidP="009F188C">
      <w:pPr>
        <w:jc w:val="both"/>
      </w:pPr>
    </w:p>
    <w:p w:rsidR="00870D77" w:rsidRPr="008C5C2F" w:rsidRDefault="00A74123" w:rsidP="009F188C">
      <w:pPr>
        <w:tabs>
          <w:tab w:val="left" w:pos="5900"/>
        </w:tabs>
        <w:jc w:val="both"/>
      </w:pPr>
      <w:r w:rsidRPr="008C5C2F">
        <w:lastRenderedPageBreak/>
        <w:tab/>
        <w:t>________________________________</w:t>
      </w:r>
    </w:p>
    <w:p w:rsidR="00AD5271" w:rsidRPr="00A12D89" w:rsidRDefault="00A74123" w:rsidP="009F188C">
      <w:pPr>
        <w:tabs>
          <w:tab w:val="left" w:pos="6800"/>
        </w:tabs>
        <w:jc w:val="both"/>
        <w:rPr>
          <w:b/>
          <w:bCs/>
          <w:sz w:val="16"/>
          <w:szCs w:val="16"/>
        </w:rPr>
      </w:pPr>
      <w:r w:rsidRPr="008C5C2F">
        <w:tab/>
      </w:r>
      <w:r w:rsidRPr="00A12D89">
        <w:rPr>
          <w:b/>
          <w:bCs/>
          <w:sz w:val="16"/>
          <w:szCs w:val="16"/>
        </w:rPr>
        <w:t>Firma Titular/Beneficiario</w:t>
      </w:r>
    </w:p>
    <w:sectPr w:rsidR="00AD5271" w:rsidRPr="00A12D89" w:rsidSect="009F188C">
      <w:footerReference w:type="default" r:id="rId8"/>
      <w:pgSz w:w="11906" w:h="16838" w:code="9"/>
      <w:pgMar w:top="567" w:right="737" w:bottom="567" w:left="1191"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44" w:rsidRDefault="00AA7044" w:rsidP="009F188C">
      <w:r>
        <w:separator/>
      </w:r>
    </w:p>
  </w:endnote>
  <w:endnote w:type="continuationSeparator" w:id="0">
    <w:p w:rsidR="00AA7044" w:rsidRDefault="00AA7044" w:rsidP="009F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8C" w:rsidRPr="009F188C" w:rsidRDefault="009F188C" w:rsidP="009F188C">
    <w:pPr>
      <w:pStyle w:val="Piedepgina"/>
      <w:tabs>
        <w:tab w:val="clear" w:pos="4252"/>
        <w:tab w:val="clear" w:pos="8504"/>
        <w:tab w:val="center" w:pos="4989"/>
        <w:tab w:val="right" w:pos="9978"/>
      </w:tabs>
      <w:rPr>
        <w:b/>
        <w:sz w:val="16"/>
      </w:rPr>
    </w:pPr>
    <w:r w:rsidRPr="009F188C">
      <w:rPr>
        <w:b/>
        <w:sz w:val="16"/>
        <w:u w:val="single"/>
      </w:rPr>
      <w:t>F-61310</w:t>
    </w:r>
  </w:p>
  <w:p w:rsidR="009F188C" w:rsidRPr="009F188C" w:rsidRDefault="006E61C4" w:rsidP="009F188C">
    <w:pPr>
      <w:pStyle w:val="Piedepgina"/>
      <w:tabs>
        <w:tab w:val="clear" w:pos="4252"/>
        <w:tab w:val="clear" w:pos="8504"/>
        <w:tab w:val="center" w:pos="4989"/>
        <w:tab w:val="right" w:pos="9978"/>
      </w:tabs>
      <w:rPr>
        <w:sz w:val="16"/>
      </w:rPr>
    </w:pPr>
    <w:r>
      <w:rPr>
        <w:b/>
        <w:sz w:val="16"/>
      </w:rPr>
      <w:t>DIC</w:t>
    </w:r>
    <w:r w:rsidR="009F188C" w:rsidRPr="009F188C">
      <w:rPr>
        <w:b/>
        <w:sz w:val="16"/>
      </w:rPr>
      <w:t>-20</w:t>
    </w:r>
    <w:r w:rsidR="009F188C" w:rsidRPr="009F188C">
      <w:rPr>
        <w:sz w:val="16"/>
      </w:rPr>
      <w:tab/>
    </w:r>
    <w:r w:rsidR="009F188C" w:rsidRPr="009F188C">
      <w:rPr>
        <w:sz w:val="16"/>
      </w:rPr>
      <w:tab/>
      <w:t xml:space="preserve">Página </w:t>
    </w:r>
    <w:r w:rsidR="009F188C" w:rsidRPr="009F188C">
      <w:rPr>
        <w:b/>
        <w:bCs/>
        <w:sz w:val="16"/>
      </w:rPr>
      <w:fldChar w:fldCharType="begin"/>
    </w:r>
    <w:r w:rsidR="009F188C" w:rsidRPr="009F188C">
      <w:rPr>
        <w:b/>
        <w:bCs/>
        <w:sz w:val="16"/>
      </w:rPr>
      <w:instrText>PAGE  \* Arabic  \* MERGEFORMAT</w:instrText>
    </w:r>
    <w:r w:rsidR="009F188C" w:rsidRPr="009F188C">
      <w:rPr>
        <w:b/>
        <w:bCs/>
        <w:sz w:val="16"/>
      </w:rPr>
      <w:fldChar w:fldCharType="separate"/>
    </w:r>
    <w:r w:rsidR="00FD228B">
      <w:rPr>
        <w:b/>
        <w:bCs/>
        <w:noProof/>
        <w:sz w:val="16"/>
      </w:rPr>
      <w:t>1</w:t>
    </w:r>
    <w:r w:rsidR="009F188C" w:rsidRPr="009F188C">
      <w:rPr>
        <w:b/>
        <w:bCs/>
        <w:sz w:val="16"/>
      </w:rPr>
      <w:fldChar w:fldCharType="end"/>
    </w:r>
    <w:r w:rsidR="009F188C" w:rsidRPr="009F188C">
      <w:rPr>
        <w:sz w:val="16"/>
      </w:rPr>
      <w:t xml:space="preserve"> de </w:t>
    </w:r>
    <w:r w:rsidR="009F188C" w:rsidRPr="009F188C">
      <w:rPr>
        <w:b/>
        <w:bCs/>
        <w:sz w:val="16"/>
      </w:rPr>
      <w:fldChar w:fldCharType="begin"/>
    </w:r>
    <w:r w:rsidR="009F188C" w:rsidRPr="009F188C">
      <w:rPr>
        <w:b/>
        <w:bCs/>
        <w:sz w:val="16"/>
      </w:rPr>
      <w:instrText>NUMPAGES  \* Arabic  \* MERGEFORMAT</w:instrText>
    </w:r>
    <w:r w:rsidR="009F188C" w:rsidRPr="009F188C">
      <w:rPr>
        <w:b/>
        <w:bCs/>
        <w:sz w:val="16"/>
      </w:rPr>
      <w:fldChar w:fldCharType="separate"/>
    </w:r>
    <w:r w:rsidR="00FD228B">
      <w:rPr>
        <w:b/>
        <w:bCs/>
        <w:noProof/>
        <w:sz w:val="16"/>
      </w:rPr>
      <w:t>1</w:t>
    </w:r>
    <w:r w:rsidR="009F188C" w:rsidRPr="009F188C">
      <w:rPr>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44" w:rsidRDefault="00AA7044" w:rsidP="009F188C">
      <w:r>
        <w:separator/>
      </w:r>
    </w:p>
  </w:footnote>
  <w:footnote w:type="continuationSeparator" w:id="0">
    <w:p w:rsidR="00AA7044" w:rsidRDefault="00AA7044" w:rsidP="009F1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EC6"/>
    <w:multiLevelType w:val="hybridMultilevel"/>
    <w:tmpl w:val="651094E8"/>
    <w:lvl w:ilvl="0" w:tplc="0C0A000F">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B257AB"/>
    <w:multiLevelType w:val="multilevel"/>
    <w:tmpl w:val="EC5AF8C2"/>
    <w:lvl w:ilvl="0">
      <w:start w:val="3"/>
      <w:numFmt w:val="bullet"/>
      <w:lvlText w:val="-"/>
      <w:lvlJc w:val="left"/>
      <w:pPr>
        <w:tabs>
          <w:tab w:val="num" w:pos="1279"/>
        </w:tabs>
        <w:ind w:left="1279" w:hanging="570"/>
      </w:pPr>
      <w:rPr>
        <w:rFonts w:ascii="Times New Roman" w:eastAsia="Times New Roman" w:hAnsi="Times New Roman" w:cs="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2B3A1B2A"/>
    <w:multiLevelType w:val="multilevel"/>
    <w:tmpl w:val="C0B6786A"/>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810"/>
        </w:tabs>
        <w:ind w:left="810" w:hanging="52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713C5A55"/>
    <w:multiLevelType w:val="hybridMultilevel"/>
    <w:tmpl w:val="EC5AF8C2"/>
    <w:lvl w:ilvl="0" w:tplc="5290BDA4">
      <w:start w:val="3"/>
      <w:numFmt w:val="bullet"/>
      <w:lvlText w:val="-"/>
      <w:lvlJc w:val="left"/>
      <w:pPr>
        <w:tabs>
          <w:tab w:val="num" w:pos="1279"/>
        </w:tabs>
        <w:ind w:left="1279" w:hanging="57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MI1dGJLk/oeOix/8cIkfxQiTca6afngL1E33EIX8zdsCh2fagWeQ8wQAgBuBfvdIYoT58sxodAK3riwxHF6ezA==" w:salt="+deMvScmry0C5yIoIQHdHw=="/>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99"/>
    <w:rsid w:val="000E3733"/>
    <w:rsid w:val="0017308E"/>
    <w:rsid w:val="00277D0A"/>
    <w:rsid w:val="002F2D81"/>
    <w:rsid w:val="00301E1C"/>
    <w:rsid w:val="00355047"/>
    <w:rsid w:val="004E286F"/>
    <w:rsid w:val="00506120"/>
    <w:rsid w:val="00553B61"/>
    <w:rsid w:val="006E61C4"/>
    <w:rsid w:val="00701523"/>
    <w:rsid w:val="007B1CE0"/>
    <w:rsid w:val="007E1F6D"/>
    <w:rsid w:val="00870D77"/>
    <w:rsid w:val="00890C44"/>
    <w:rsid w:val="008A2AE7"/>
    <w:rsid w:val="008C5C2F"/>
    <w:rsid w:val="009031CA"/>
    <w:rsid w:val="00955A99"/>
    <w:rsid w:val="009F188C"/>
    <w:rsid w:val="00A045F1"/>
    <w:rsid w:val="00A12D89"/>
    <w:rsid w:val="00A74123"/>
    <w:rsid w:val="00AA7044"/>
    <w:rsid w:val="00AD5271"/>
    <w:rsid w:val="00EC435E"/>
    <w:rsid w:val="00F40931"/>
    <w:rsid w:val="00FD22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9DDFB-74CF-4F75-B66E-B4E52C2D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ES" w:eastAsia="zh-CN"/>
    </w:rPr>
  </w:style>
  <w:style w:type="paragraph" w:styleId="Ttulo1">
    <w:name w:val="heading 1"/>
    <w:basedOn w:val="Normal"/>
    <w:next w:val="Normal"/>
    <w:qFormat/>
    <w:pPr>
      <w:keepNext/>
      <w:jc w:val="center"/>
      <w:outlineLvl w:val="0"/>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unhideWhenUsed/>
    <w:rsid w:val="009F188C"/>
    <w:pPr>
      <w:tabs>
        <w:tab w:val="center" w:pos="4252"/>
        <w:tab w:val="right" w:pos="8504"/>
      </w:tabs>
    </w:pPr>
  </w:style>
  <w:style w:type="paragraph" w:styleId="Textoindependiente2">
    <w:name w:val="Body Text 2"/>
    <w:basedOn w:val="Normal"/>
    <w:pPr>
      <w:tabs>
        <w:tab w:val="left" w:pos="284"/>
      </w:tabs>
      <w:jc w:val="both"/>
    </w:pPr>
    <w:rPr>
      <w:rFonts w:eastAsia="Times New Roman"/>
      <w:sz w:val="18"/>
      <w:lang w:val="es-ES_tradnl" w:eastAsia="es-ES"/>
    </w:rPr>
  </w:style>
  <w:style w:type="paragraph" w:styleId="Sangradetextonormal">
    <w:name w:val="Body Text Indent"/>
    <w:basedOn w:val="Normal"/>
    <w:pPr>
      <w:spacing w:after="120"/>
      <w:ind w:left="283"/>
    </w:pPr>
  </w:style>
  <w:style w:type="paragraph" w:styleId="Textoindependiente">
    <w:name w:val="Body Text"/>
    <w:basedOn w:val="Normal"/>
    <w:pPr>
      <w:spacing w:after="120"/>
    </w:pPr>
  </w:style>
  <w:style w:type="paragraph" w:styleId="Fecha">
    <w:name w:val="Date"/>
    <w:basedOn w:val="Normal"/>
    <w:next w:val="Normal"/>
  </w:style>
  <w:style w:type="character" w:customStyle="1" w:styleId="EncabezadoCar">
    <w:name w:val="Encabezado Car"/>
    <w:link w:val="Encabezado"/>
    <w:uiPriority w:val="99"/>
    <w:rsid w:val="009F188C"/>
    <w:rPr>
      <w:rFonts w:ascii="Arial" w:hAnsi="Arial" w:cs="Arial"/>
      <w:lang w:val="es-ES" w:eastAsia="zh-CN"/>
    </w:rPr>
  </w:style>
  <w:style w:type="paragraph" w:styleId="Piedepgina">
    <w:name w:val="footer"/>
    <w:basedOn w:val="Normal"/>
    <w:link w:val="PiedepginaCar"/>
    <w:uiPriority w:val="99"/>
    <w:unhideWhenUsed/>
    <w:rsid w:val="009F188C"/>
    <w:pPr>
      <w:tabs>
        <w:tab w:val="center" w:pos="4252"/>
        <w:tab w:val="right" w:pos="8504"/>
      </w:tabs>
    </w:pPr>
  </w:style>
  <w:style w:type="character" w:customStyle="1" w:styleId="PiedepginaCar">
    <w:name w:val="Pie de página Car"/>
    <w:link w:val="Piedepgina"/>
    <w:uiPriority w:val="99"/>
    <w:rsid w:val="009F188C"/>
    <w:rPr>
      <w:rFonts w:ascii="Arial" w:hAnsi="Arial" w:cs="Arial"/>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9910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lpstr>
    </vt:vector>
  </TitlesOfParts>
  <Company>BNA</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N03681</dc:creator>
  <cp:keywords/>
  <dc:description/>
  <cp:lastModifiedBy>HERRERA IANNICELLI,IVANA ANDRE</cp:lastModifiedBy>
  <cp:revision>2</cp:revision>
  <cp:lastPrinted>2011-04-28T17:47:00Z</cp:lastPrinted>
  <dcterms:created xsi:type="dcterms:W3CDTF">2020-12-22T19:31:00Z</dcterms:created>
  <dcterms:modified xsi:type="dcterms:W3CDTF">2020-12-22T19:31:00Z</dcterms:modified>
</cp:coreProperties>
</file>